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44"/>
          <w:lang w:val="en-US" w:eastAsia="zh-CN"/>
        </w:rPr>
        <w:t>昆明醋酸纤维有限公司工会委员会2024年度会员观影服务采购公告</w:t>
      </w:r>
    </w:p>
    <w:p>
      <w:pPr>
        <w:kinsoku/>
        <w:autoSpaceDE/>
        <w:autoSpaceDN/>
        <w:ind w:firstLine="0"/>
        <w:jc w:val="both"/>
        <w:rPr>
          <w:rFonts w:hint="default" w:ascii="宋体" w:eastAsia="宋体"/>
          <w:snapToGrid/>
          <w:color w:val="000000"/>
          <w:kern w:val="2"/>
          <w:sz w:val="36"/>
          <w:lang w:eastAsia="zh-CN"/>
        </w:rPr>
      </w:pPr>
      <w:r>
        <w:rPr>
          <w:rFonts w:hint="eastAsia" w:ascii="宋体" w:eastAsia="宋体"/>
          <w:snapToGrid/>
          <w:color w:val="000000"/>
          <w:kern w:val="2"/>
          <w:sz w:val="36"/>
          <w:lang w:eastAsia="zh-CN"/>
        </w:rPr>
        <w:t xml:space="preserve"> </w:t>
      </w:r>
    </w:p>
    <w:p>
      <w:pPr>
        <w:kinsoku/>
        <w:autoSpaceDE/>
        <w:autoSpaceDN/>
        <w:ind w:firstLine="0"/>
        <w:jc w:val="both"/>
        <w:rPr>
          <w:rFonts w:hint="eastAsia" w:ascii="仿宋_GB2312" w:hAnsi="仿宋_GB2312" w:eastAsia="仿宋_GB2312" w:cs="仿宋_GB2312"/>
          <w:snapToGrid/>
          <w:kern w:val="2"/>
          <w:sz w:val="32"/>
          <w:lang w:val="en-US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  <w:t xml:space="preserve">  为丰富公司工会会员文化生活，根据2024年工作安排，昆明醋酸纤维有限公司工会决定采取公开询价方式采购2024年度公司工会会员观影服务供应商，现将具体事项公告如下：</w:t>
      </w:r>
    </w:p>
    <w:p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napToGrid/>
          <w:kern w:val="2"/>
          <w:sz w:val="32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eastAsia="zh-CN"/>
        </w:rPr>
        <w:t>一、项目</w:t>
      </w: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  <w:t>名称</w:t>
      </w:r>
    </w:p>
    <w:p>
      <w:pPr>
        <w:widowControl/>
        <w:kinsoku/>
        <w:autoSpaceDE/>
        <w:autoSpaceDN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  <w:t>昆明醋酸纤维有限公司工会2024年度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eastAsia="zh-CN"/>
        </w:rPr>
        <w:t>会员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  <w:t>观影服务</w:t>
      </w:r>
    </w:p>
    <w:p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  <w:t>二、采购方式</w:t>
      </w:r>
    </w:p>
    <w:p>
      <w:pPr>
        <w:widowControl/>
        <w:numPr>
          <w:ilvl w:val="0"/>
          <w:numId w:val="0"/>
        </w:numPr>
        <w:tabs>
          <w:tab w:val="left" w:pos="683"/>
        </w:tabs>
        <w:kinsoku/>
        <w:autoSpaceDE/>
        <w:autoSpaceDN/>
        <w:spacing w:line="360" w:lineRule="auto"/>
        <w:jc w:val="both"/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  <w:t>询比价</w:t>
      </w:r>
    </w:p>
    <w:p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  <w:t>三、项目内容及价格测算</w:t>
      </w:r>
    </w:p>
    <w:p>
      <w:pPr>
        <w:kinsoku/>
        <w:autoSpaceDE/>
        <w:autoSpaceDN/>
        <w:spacing w:line="360" w:lineRule="auto"/>
        <w:ind w:firstLine="640" w:firstLineChars="200"/>
        <w:jc w:val="both"/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  <w:t>昆明醋酸纤维有限公司工会会员人数为350人（以实际结算为准），采购单价300元/张，总采购金额以单人金额乘以工会会员人数确定。</w:t>
      </w:r>
      <w:bookmarkStart w:id="0" w:name="_GoBack"/>
      <w:bookmarkEnd w:id="0"/>
    </w:p>
    <w:p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  <w:t>四、报价要求</w:t>
      </w:r>
    </w:p>
    <w:p>
      <w:pPr>
        <w:kinsoku/>
        <w:autoSpaceDE/>
        <w:autoSpaceDN/>
        <w:spacing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snapToGrid/>
          <w:kern w:val="2"/>
          <w:sz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lang w:eastAsia="zh-CN"/>
        </w:rPr>
        <w:t>（一）报价材料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u w:val="single"/>
          <w:lang w:eastAsia="zh-CN"/>
        </w:rPr>
        <w:t>有效期内的营业执照（副本）复印件、《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u w:val="single"/>
          <w:lang w:val="en-US" w:eastAsia="zh-CN"/>
        </w:rPr>
        <w:t>昆明醋酸纤维有有限公司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u w:val="single"/>
          <w:lang w:eastAsia="zh-CN"/>
        </w:rPr>
        <w:t>2024年度会员观影服务报价函》（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u w:val="single"/>
          <w:lang w:val="en-US" w:eastAsia="zh-CN"/>
        </w:rPr>
        <w:t>见附件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u w:val="single"/>
          <w:lang w:eastAsia="zh-CN"/>
        </w:rPr>
        <w:t>）、近一年来中标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u w:val="single"/>
          <w:lang w:val="en-US" w:eastAsia="zh-CN"/>
        </w:rPr>
        <w:t>观影服务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u w:val="single"/>
          <w:lang w:eastAsia="zh-CN"/>
        </w:rPr>
        <w:t>的单位目录清单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eastAsia="zh-CN"/>
        </w:rPr>
        <w:t>。所有材料均须加盖公司章。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  <w:t xml:space="preserve">  </w:t>
      </w:r>
    </w:p>
    <w:p>
      <w:pPr>
        <w:kinsoku/>
        <w:autoSpaceDE/>
        <w:autoSpaceDN/>
        <w:spacing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lang w:eastAsia="zh-CN"/>
        </w:rPr>
        <w:t>（二）报价方式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eastAsia="zh-CN"/>
        </w:rPr>
        <w:t>：请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  <w:t>有意向参与应标的单位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u w:val="single"/>
          <w:lang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u w:val="singl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u w:val="single"/>
          <w:lang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u w:val="single"/>
          <w:lang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u w:val="singl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/>
          <w:bCs/>
          <w:snapToGrid/>
          <w:color w:val="000000"/>
          <w:kern w:val="2"/>
          <w:sz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u w:val="single"/>
          <w:lang w:eastAsia="zh-CN"/>
        </w:rPr>
        <w:t>日（星期六）1</w:t>
      </w: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u w:val="single"/>
          <w:lang w:eastAsia="zh-CN"/>
        </w:rPr>
        <w:t>：00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eastAsia="zh-CN"/>
        </w:rPr>
        <w:t>前将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  <w:t>上述报价材料以电子邮件或快递形式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eastAsia="zh-CN"/>
        </w:rPr>
        <w:t>递交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  <w:t>至昆明醋酸纤维有限公司工会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eastAsia="zh-CN"/>
        </w:rPr>
        <w:t>。</w:t>
      </w:r>
    </w:p>
    <w:p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napToGrid/>
          <w:kern w:val="2"/>
          <w:sz w:val="32"/>
          <w:lang w:val="en-US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  <w:t>利老师</w:t>
      </w:r>
    </w:p>
    <w:p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eastAsia="zh-CN"/>
        </w:rPr>
        <w:t>电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eastAsia="zh-CN"/>
        </w:rPr>
        <w:t>话：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  <w:t>0871-65631028-2022</w:t>
      </w:r>
    </w:p>
    <w:p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  <w:t>邮  箱 ：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u w:val="singl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u w:val="single"/>
          <w:lang w:val="en-US" w:eastAsia="zh-CN"/>
        </w:rPr>
        <w:instrText xml:space="preserve"> HYPERLINK "mailto:lsf@ynkcfc.com" </w:instrTex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u w:val="single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  <w:t>lsf@ynkcfc.com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u w:val="single"/>
          <w:lang w:val="en-US" w:eastAsia="zh-CN"/>
        </w:rPr>
        <w:fldChar w:fldCharType="end"/>
      </w:r>
    </w:p>
    <w:p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eastAsia="zh-CN"/>
        </w:rPr>
        <w:t>址：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  <w:t>昆明市盘龙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  <w:t>穿金路725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eastAsia="zh-CN"/>
        </w:rPr>
        <w:t>号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  <w:t>昆纤公司工会</w:t>
      </w:r>
    </w:p>
    <w:p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  <w:t>五、评价方式</w:t>
      </w:r>
    </w:p>
    <w:p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eastAsia="zh-CN"/>
        </w:rPr>
        <w:t>采用综合评价法确定中标供应商。</w:t>
      </w:r>
    </w:p>
    <w:p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  <w:t>六、其他事项</w:t>
      </w:r>
    </w:p>
    <w:p>
      <w:pPr>
        <w:numPr>
          <w:ilvl w:val="0"/>
          <w:numId w:val="0"/>
        </w:numPr>
        <w:kinsoku/>
        <w:autoSpaceDE/>
        <w:autoSpaceDN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  <w:t>1.本项目不接受联合体，中标后禁止转包和分包。</w:t>
      </w:r>
    </w:p>
    <w:p>
      <w:pPr>
        <w:widowControl/>
        <w:kinsoku/>
        <w:autoSpaceDE/>
        <w:autoSpaceDN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  <w:t>2.采购人提供符合采购要求的观影卡（券）且使用期限不得低于两年，有效期到期之后，支持免费延期。</w:t>
      </w:r>
    </w:p>
    <w:p>
      <w:pPr>
        <w:widowControl/>
        <w:kinsoku/>
        <w:autoSpaceDE/>
        <w:autoSpaceDN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  <w:t>3.供应商所提供的观影卡(劵)须支持昆明地区不低于5家影院，普通2D、3D或IMAX电影直接兑换，不需要额外补差。支持柜台、线上等方式兑换，可观看任意时间、任意场次电影。</w:t>
      </w:r>
    </w:p>
    <w:p>
      <w:pPr>
        <w:widowControl/>
        <w:kinsoku/>
        <w:autoSpaceDE/>
        <w:autoSpaceDN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eastAsia="zh-CN"/>
        </w:rPr>
      </w:pPr>
    </w:p>
    <w:p>
      <w:pPr>
        <w:widowControl/>
        <w:kinsoku/>
        <w:autoSpaceDE/>
        <w:autoSpaceDN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eastAsia="zh-CN"/>
        </w:rPr>
        <w:t>附件：</w:t>
      </w:r>
    </w:p>
    <w:p>
      <w:pPr>
        <w:widowControl/>
        <w:kinsoku/>
        <w:autoSpaceDE/>
        <w:autoSpaceDN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  <w:t>昆明醋酸纤维有限公司工会2024年度会员观影服务报价函</w:t>
      </w:r>
    </w:p>
    <w:p>
      <w:pPr>
        <w:kinsoku/>
        <w:autoSpaceDE/>
        <w:autoSpaceDN/>
        <w:spacing w:line="360" w:lineRule="auto"/>
        <w:ind w:firstLine="0"/>
        <w:jc w:val="right"/>
        <w:rPr>
          <w:rFonts w:hint="eastAsia" w:ascii="仿宋_GB2312" w:hAnsi="仿宋_GB2312" w:eastAsia="仿宋_GB2312" w:cs="仿宋_GB2312"/>
          <w:snapToGrid/>
          <w:kern w:val="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  <w:t>昆明醋酸纤维有限公司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eastAsia="zh-CN"/>
        </w:rPr>
        <w:t>工会委员会</w:t>
      </w:r>
    </w:p>
    <w:p>
      <w:pPr>
        <w:kinsoku/>
        <w:wordWrap w:val="0"/>
        <w:autoSpaceDE/>
        <w:autoSpaceDN/>
        <w:spacing w:line="360" w:lineRule="auto"/>
        <w:ind w:firstLine="5120" w:firstLineChars="1600"/>
        <w:jc w:val="right"/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lang w:val="en-US" w:eastAsia="zh-CN"/>
        </w:rPr>
        <w:t xml:space="preserve">     </w:t>
      </w:r>
    </w:p>
    <w:p>
      <w:pPr>
        <w:spacing w:after="312" w:afterLines="100" w:line="570" w:lineRule="exact"/>
        <w:jc w:val="both"/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昆明醋酸纤维有限公司工会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2024年度会员观影服务报价函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val="en-US" w:eastAsia="zh-CN"/>
        </w:rPr>
        <w:t>报价单位（盖章）：</w:t>
      </w:r>
    </w:p>
    <w:tbl>
      <w:tblPr>
        <w:tblStyle w:val="3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2828"/>
        <w:gridCol w:w="3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2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结算金额</w:t>
            </w: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实际可用金额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工会会员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观影服务</w:t>
            </w:r>
          </w:p>
        </w:tc>
        <w:tc>
          <w:tcPr>
            <w:tcW w:w="2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每人300元</w:t>
            </w: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（注：如果可以提供计次票，备注填写可观看次数）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可用范围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（请列举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昆明市范围内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可使用的院线品牌和影院数量）</w:t>
            </w:r>
          </w:p>
        </w:tc>
        <w:tc>
          <w:tcPr>
            <w:tcW w:w="63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有效期限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（观影服务是否要求限期兑换，如有，请列明期限）</w:t>
            </w:r>
          </w:p>
        </w:tc>
        <w:tc>
          <w:tcPr>
            <w:tcW w:w="63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特色服务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（请列举可附加提供的特色服务项目，可增加页码）</w:t>
            </w:r>
          </w:p>
        </w:tc>
        <w:tc>
          <w:tcPr>
            <w:tcW w:w="63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vertAlign w:val="baseline"/>
          <w:lang w:val="en-US" w:eastAsia="zh-CN"/>
        </w:rPr>
        <w:t>备注：若可提供投标保函，可获得评价加分。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vertAlign w:val="baseline"/>
          <w:lang w:val="en-US" w:eastAsia="zh-CN"/>
        </w:rPr>
        <w:t>报价时间：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vertAlign w:val="baseline"/>
          <w:lang w:val="en-US" w:eastAsia="zh-CN"/>
        </w:rPr>
        <w:t>联系人及电话：</w:t>
      </w:r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MGZjMmY2ODY4Y2M5Yzc2OGM3ZDQ1NGU1M2RlOTUifQ=="/>
  </w:docVars>
  <w:rsids>
    <w:rsidRoot w:val="00000000"/>
    <w:rsid w:val="1B476A11"/>
    <w:rsid w:val="1FC90811"/>
    <w:rsid w:val="396867BD"/>
    <w:rsid w:val="6D091704"/>
    <w:rsid w:val="76AB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qFormat/>
    <w:uiPriority w:val="0"/>
  </w:style>
  <w:style w:type="table" w:default="1" w:styleId="2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800</Words>
  <Characters>876</Characters>
  <Paragraphs>58</Paragraphs>
  <TotalTime>15</TotalTime>
  <ScaleCrop>false</ScaleCrop>
  <LinksUpToDate>false</LinksUpToDate>
  <CharactersWithSpaces>894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2024-03-11T05:20:00Z</dcterms:created>
  <dc:creator>lsf</dc:creator>
  <cp:lastModifiedBy>飛天</cp:lastModifiedBy>
  <dcterms:modified xsi:type="dcterms:W3CDTF">2024-05-07T03:54:44Z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9724155DE6F64C19A68DA5BD086F35B4_13</vt:lpwstr>
  </property>
</Properties>
</file>