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AA1F3">
      <w:pPr>
        <w:jc w:val="center"/>
        <w:rPr>
          <w:rFonts w:ascii="宋体" w:hAnsi="宋体" w:eastAsia="宋体" w:cs="Times New Roman"/>
          <w:b/>
          <w:color w:val="000000" w:themeColor="text1"/>
          <w:spacing w:val="1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采购一台泵吸式气体检测仪招标技术文件</w:t>
      </w:r>
    </w:p>
    <w:p w14:paraId="20C3B3B5">
      <w:pPr>
        <w:jc w:val="center"/>
        <w:rPr>
          <w:rFonts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D1E4B9">
      <w:pPr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一．设备概述</w:t>
      </w:r>
    </w:p>
    <w:p w14:paraId="24DC8507">
      <w:pPr>
        <w:ind w:firstLine="480" w:firstLineChars="200"/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B61372">
      <w:pPr>
        <w:ind w:firstLine="480" w:firstLineChars="200"/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司安标自评提出，目前热动区域使用的气体检测仪为手持式，未配备泵吸式气体检测仪，虽然配置延长杆可以检测到内部工作面气体浓度，但观看数据时存在短暂时间差，可能无法检测准确的测量到氧气及有害气体浓度，存在安全隐患，故需采购一台泵吸式气体检测仪。热动区域主要涉及有害气体一氧化碳、二氧化硫、硫化氢和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可燃气体（天然气）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等，气体检测仪要能准确检测氧气含量和以上四种有害气体浓度，并且具备泵吸功能，配有气体采样管和检测棒。</w:t>
      </w:r>
    </w:p>
    <w:p w14:paraId="0B9CBA6E">
      <w:pPr>
        <w:ind w:firstLine="480" w:firstLineChars="200"/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404900">
      <w:pPr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二．位号、名称、型号规格、数量及说明</w:t>
      </w:r>
    </w:p>
    <w:tbl>
      <w:tblPr>
        <w:tblStyle w:val="4"/>
        <w:tblW w:w="83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941"/>
        <w:gridCol w:w="1422"/>
        <w:gridCol w:w="1182"/>
        <w:gridCol w:w="798"/>
        <w:gridCol w:w="992"/>
        <w:gridCol w:w="1843"/>
      </w:tblGrid>
      <w:tr w14:paraId="44A9E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2E3D5CE4">
            <w:pP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1" w:type="dxa"/>
          </w:tcPr>
          <w:p w14:paraId="03217325">
            <w:pP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设备位号</w:t>
            </w:r>
          </w:p>
        </w:tc>
        <w:tc>
          <w:tcPr>
            <w:tcW w:w="1422" w:type="dxa"/>
          </w:tcPr>
          <w:p w14:paraId="354AFD87">
            <w:pP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182" w:type="dxa"/>
          </w:tcPr>
          <w:p w14:paraId="18ECE888">
            <w:pP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型号规格</w:t>
            </w:r>
          </w:p>
        </w:tc>
        <w:tc>
          <w:tcPr>
            <w:tcW w:w="798" w:type="dxa"/>
          </w:tcPr>
          <w:p w14:paraId="53A174A2">
            <w:pP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92" w:type="dxa"/>
          </w:tcPr>
          <w:p w14:paraId="740452C6">
            <w:pP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品牌、生厂商</w:t>
            </w:r>
          </w:p>
        </w:tc>
        <w:tc>
          <w:tcPr>
            <w:tcW w:w="1843" w:type="dxa"/>
          </w:tcPr>
          <w:p w14:paraId="64E873A8">
            <w:pP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要求及说明</w:t>
            </w:r>
          </w:p>
        </w:tc>
      </w:tr>
      <w:tr w14:paraId="4A1EA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45E080EB">
            <w:pP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1" w:type="dxa"/>
          </w:tcPr>
          <w:p w14:paraId="50BE975B">
            <w:pP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</w:tcPr>
          <w:p w14:paraId="3AC14BAF">
            <w:pP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泵吸式气体检测仪</w:t>
            </w:r>
          </w:p>
        </w:tc>
        <w:tc>
          <w:tcPr>
            <w:tcW w:w="1182" w:type="dxa"/>
          </w:tcPr>
          <w:p w14:paraId="2481594F">
            <w:pP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X-8000</w:t>
            </w:r>
          </w:p>
        </w:tc>
        <w:tc>
          <w:tcPr>
            <w:tcW w:w="798" w:type="dxa"/>
          </w:tcPr>
          <w:p w14:paraId="114BF249">
            <w:pP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992" w:type="dxa"/>
          </w:tcPr>
          <w:p w14:paraId="299A920B">
            <w:pP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理研</w:t>
            </w:r>
          </w:p>
        </w:tc>
        <w:tc>
          <w:tcPr>
            <w:tcW w:w="1843" w:type="dxa"/>
          </w:tcPr>
          <w:p w14:paraId="29E17A54">
            <w:pP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能够准确检测氧气含量及一氧化碳、二氧化硫、硫化氢、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可燃气体（天然气）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四种有害气体浓度，满足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IEC 60079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防爆要求</w:t>
            </w:r>
          </w:p>
        </w:tc>
      </w:tr>
      <w:tr w14:paraId="7F0D5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14672488">
            <w:pP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1" w:type="dxa"/>
          </w:tcPr>
          <w:p w14:paraId="53F142CE">
            <w:pP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</w:tcPr>
          <w:p w14:paraId="699CCB06">
            <w:pP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气体采样管和检测棒</w:t>
            </w:r>
          </w:p>
        </w:tc>
        <w:tc>
          <w:tcPr>
            <w:tcW w:w="1182" w:type="dxa"/>
          </w:tcPr>
          <w:p w14:paraId="3F259E7D">
            <w:pP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</w:tcPr>
          <w:p w14:paraId="213DFE2C">
            <w:pP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992" w:type="dxa"/>
          </w:tcPr>
          <w:p w14:paraId="624CB2E0">
            <w:pP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337733DC">
            <w:pP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能够调整长度，最大长度不小于2m</w:t>
            </w:r>
          </w:p>
        </w:tc>
      </w:tr>
    </w:tbl>
    <w:p w14:paraId="1E8C9146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ADEC85">
      <w:pPr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三．技术标准和规范</w:t>
      </w:r>
    </w:p>
    <w:p w14:paraId="2AB7BA10">
      <w:pPr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EF0909A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IEC 60079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国际电工委员会防爆电气设备标准</w:t>
      </w:r>
    </w:p>
    <w:p w14:paraId="09733F3E">
      <w:pPr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85765BC">
      <w:pPr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四．技术参数</w:t>
      </w:r>
    </w:p>
    <w:p w14:paraId="379B1039">
      <w:pPr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9CF59D7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氧气含量</w:t>
      </w:r>
      <w:bookmarkStart w:id="1" w:name="_Hlk166074899"/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显示范围</w:t>
      </w:r>
      <w:bookmarkEnd w:id="1"/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25 vol%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最大到40vol%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，显示分辨率0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.1</w:t>
      </w:r>
      <w:r>
        <w:t xml:space="preserve"> 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vol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%，低于1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9.5%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或高于2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3.5%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触发报警；</w:t>
      </w:r>
    </w:p>
    <w:p w14:paraId="7533E0D9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一氧化碳</w:t>
      </w:r>
      <w:bookmarkStart w:id="2" w:name="_Hlk166074960"/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浓度显示范围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0-100ppm，最大到200ppm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，显示分辨率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ppm</w:t>
      </w:r>
      <w:bookmarkEnd w:id="2"/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，浓度高于1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5PPM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触发报警；</w:t>
      </w:r>
    </w:p>
    <w:p w14:paraId="18FDBB7E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二氧化硫浓度显示范围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0-20ppm，最大到50ppm，显示分辨率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.1ppm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，浓度高于1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.5PPM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触发报警；</w:t>
      </w:r>
    </w:p>
    <w:p w14:paraId="23BD6319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硫化氢浓度显示范围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0-30ppm，最大到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00ppm，显示分辨率0.5ppm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，浓度高于6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PPM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触发报警；</w:t>
      </w:r>
    </w:p>
    <w:p w14:paraId="323F33CD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可燃气体（天然气）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显示范围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100%LEL(NC)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或到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100vol%(TE)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，显示分辨率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1%LEL(NC)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或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 vol%(TE)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，浓度高于1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0%LEL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触发报警；</w:t>
      </w:r>
    </w:p>
    <w:p w14:paraId="2EAB98CA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常温下，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电池充满电时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可运行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10小时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以上；</w:t>
      </w:r>
    </w:p>
    <w:p w14:paraId="60E8E01E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有声音报警和L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ED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灯光报警，有旋钮型活性炭过滤器，有故障报警功能。</w:t>
      </w:r>
    </w:p>
    <w:p w14:paraId="33E6DE2B">
      <w:pPr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E61F21">
      <w:pPr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五．技术要求</w:t>
      </w:r>
    </w:p>
    <w:p w14:paraId="6BF33044">
      <w:pPr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48E8AC">
      <w:pPr>
        <w:numPr>
          <w:ilvl w:val="0"/>
          <w:numId w:val="1"/>
        </w:num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配备泵吸式气体检测仪一台，气体采样管和检测棒一套，背带等其他配套工具；</w:t>
      </w:r>
    </w:p>
    <w:p w14:paraId="7B84DB23">
      <w:pPr>
        <w:numPr>
          <w:ilvl w:val="0"/>
          <w:numId w:val="1"/>
        </w:num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具备防水防尘结构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(满足IP67防护等级)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，本质安全防爆构造（满足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ExiaⅡCT4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防爆等级）；</w:t>
      </w:r>
    </w:p>
    <w:p w14:paraId="4CA66FC7">
      <w:pPr>
        <w:numPr>
          <w:ilvl w:val="0"/>
          <w:numId w:val="1"/>
        </w:num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气体检测报警设备的材料、工艺和性能，从发货之日起在一年内没有缺陷，在保证期内任何部件出现问题时，免费维修或更换。</w:t>
      </w:r>
    </w:p>
    <w:p w14:paraId="633F78EF">
      <w:pPr>
        <w:numPr>
          <w:ilvl w:val="0"/>
          <w:numId w:val="1"/>
        </w:num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保证检测数据误差小于3%，报警反应时间3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秒以内；</w:t>
      </w:r>
    </w:p>
    <w:p w14:paraId="01E277B5">
      <w:pPr>
        <w:numPr>
          <w:ilvl w:val="0"/>
          <w:numId w:val="1"/>
        </w:num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维修服务要求：提供电池检查、浓度显示检查、流量检查、过滤器检查、报警测试、精度校准、气体报警检查、清洁和修理等服务。</w:t>
      </w:r>
    </w:p>
    <w:p w14:paraId="000896DD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71545">
      <w:pPr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六．项目进度要求</w:t>
      </w:r>
    </w:p>
    <w:p w14:paraId="37979AD7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85040EC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年5月1日前交货。</w:t>
      </w:r>
    </w:p>
    <w:p w14:paraId="22F8964A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D7861D">
      <w:pPr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七．运输和包装</w:t>
      </w:r>
    </w:p>
    <w:p w14:paraId="22D6FB9C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5D41CA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包装完好，无破损。</w:t>
      </w:r>
    </w:p>
    <w:p w14:paraId="2DBDA6BF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C40BAFB">
      <w:pPr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八．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设备监造和性能验收试验</w:t>
      </w:r>
    </w:p>
    <w:p w14:paraId="3418CAAD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B5C528">
      <w:pPr>
        <w:numPr>
          <w:ilvl w:val="0"/>
          <w:numId w:val="0"/>
        </w:numP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1.验收时确保外观完好，包括电池盖、接口等部件必须紧固，表面无裂纹、破损等情况。</w:t>
      </w:r>
    </w:p>
    <w:p w14:paraId="7AC78DB2">
      <w:pPr>
        <w:rPr>
          <w:rFonts w:hint="default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.验收时确保机身标注机器型号、标号、生产日期和制造商等信息与说明书一致，质保期不低于1年</w:t>
      </w:r>
      <w:bookmarkStart w:id="3" w:name="_GoBack"/>
      <w:bookmarkEnd w:id="3"/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A5A391E">
      <w:pP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3.验收时确保监测气体类型正确，有防爆标识等标识。</w:t>
      </w:r>
    </w:p>
    <w:p w14:paraId="3D3B1015">
      <w:pP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4.验收时进行通电检查，确保屏幕能正常显示，充电正常，必要时可进行模拟试验，检验报警性能。</w:t>
      </w:r>
    </w:p>
    <w:p w14:paraId="113C3FFB">
      <w:pPr>
        <w:rPr>
          <w:rFonts w:hint="default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5.验收时有一条不满足以上要求或出现其他缺陷，拒绝收货。</w:t>
      </w:r>
    </w:p>
    <w:p w14:paraId="200C69B9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881BCA">
      <w:pPr>
        <w:snapToGrid w:val="0"/>
        <w:rPr>
          <w:rFonts w:ascii="宋体" w:hAnsi="宋体" w:eastAsia="宋体" w:cs="Times New Roman"/>
          <w:b/>
          <w:color w:val="000000" w:themeColor="text1"/>
          <w:spacing w:val="1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九．</w:t>
      </w:r>
      <w:r>
        <w:rPr>
          <w:rFonts w:hint="eastAsia" w:ascii="宋体" w:hAnsi="宋体" w:eastAsia="宋体" w:cs="Times New Roman"/>
          <w:b/>
          <w:color w:val="000000" w:themeColor="text1"/>
          <w:spacing w:val="16"/>
          <w:sz w:val="24"/>
          <w:szCs w:val="24"/>
          <w14:textFill>
            <w14:solidFill>
              <w14:schemeClr w14:val="tx1"/>
            </w14:solidFill>
          </w14:textFill>
        </w:rPr>
        <w:t>资料及培训</w:t>
      </w:r>
    </w:p>
    <w:p w14:paraId="5D1674D3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D6040A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提供产品说明书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合格证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及厂家校准证书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C8FC619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765D69E">
      <w:pPr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十．技术专有权</w:t>
      </w:r>
    </w:p>
    <w:p w14:paraId="627621CD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E43675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无</w:t>
      </w:r>
    </w:p>
    <w:p w14:paraId="19649751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E71CED">
      <w:pPr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十一．保密协议</w:t>
      </w:r>
    </w:p>
    <w:p w14:paraId="03C44AAD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0BE5EFB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无</w:t>
      </w:r>
    </w:p>
    <w:p w14:paraId="46E41B61"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54D8C6A">
      <w:pPr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十二</w:t>
      </w:r>
      <w:r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其他要求（施工资质、授权等要求）</w:t>
      </w:r>
    </w:p>
    <w:bookmarkEnd w:id="0"/>
    <w:p w14:paraId="3BE22DBF">
      <w:pPr>
        <w:snapToGrid w:val="0"/>
        <w:rPr>
          <w:rFonts w:ascii="宋体" w:hAnsi="宋体" w:eastAsia="宋体" w:cs="Times New Roman"/>
          <w:color w:val="000000" w:themeColor="text1"/>
          <w:spacing w:val="1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106997">
      <w:pPr>
        <w:snapToGrid w:val="0"/>
        <w:rPr>
          <w:rFonts w:ascii="宋体" w:hAnsi="宋体" w:eastAsia="宋体" w:cs="Times New Roman"/>
          <w:color w:val="000000" w:themeColor="text1"/>
          <w:spacing w:val="1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pacing w:val="10"/>
          <w:sz w:val="24"/>
          <w:szCs w:val="24"/>
          <w14:textFill>
            <w14:solidFill>
              <w14:schemeClr w14:val="tx1"/>
            </w14:solidFill>
          </w14:textFill>
        </w:rPr>
        <w:t>无</w:t>
      </w:r>
    </w:p>
    <w:p w14:paraId="1FAFB0B5">
      <w:pPr>
        <w:snapToGrid w:val="0"/>
        <w:rPr>
          <w:rFonts w:ascii="宋体" w:hAnsi="宋体" w:eastAsia="宋体" w:cs="Times New Roman"/>
          <w:color w:val="000000" w:themeColor="text1"/>
          <w:spacing w:val="1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9AF13F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27F43"/>
    <w:multiLevelType w:val="multilevel"/>
    <w:tmpl w:val="03A27F43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jMTI1OGVhNWNlNzFiYjlkNmMxOTAwNTk2YzEyY2EifQ=="/>
  </w:docVars>
  <w:rsids>
    <w:rsidRoot w:val="009D57F5"/>
    <w:rsid w:val="00035711"/>
    <w:rsid w:val="00052C5E"/>
    <w:rsid w:val="000C3DEA"/>
    <w:rsid w:val="00144432"/>
    <w:rsid w:val="00162BCE"/>
    <w:rsid w:val="00203394"/>
    <w:rsid w:val="0023640D"/>
    <w:rsid w:val="002712D2"/>
    <w:rsid w:val="002F2F3D"/>
    <w:rsid w:val="0037755A"/>
    <w:rsid w:val="00381A26"/>
    <w:rsid w:val="00391840"/>
    <w:rsid w:val="003D6B4A"/>
    <w:rsid w:val="00473D4E"/>
    <w:rsid w:val="004E6988"/>
    <w:rsid w:val="005054C1"/>
    <w:rsid w:val="005406EA"/>
    <w:rsid w:val="00587B4C"/>
    <w:rsid w:val="005D4865"/>
    <w:rsid w:val="00610E69"/>
    <w:rsid w:val="006367E6"/>
    <w:rsid w:val="00660B12"/>
    <w:rsid w:val="00661DB6"/>
    <w:rsid w:val="006D322A"/>
    <w:rsid w:val="006E5FB1"/>
    <w:rsid w:val="007431BC"/>
    <w:rsid w:val="00762671"/>
    <w:rsid w:val="00763A07"/>
    <w:rsid w:val="00767FFC"/>
    <w:rsid w:val="007902D6"/>
    <w:rsid w:val="00802D0E"/>
    <w:rsid w:val="008F6586"/>
    <w:rsid w:val="009D57F5"/>
    <w:rsid w:val="009D7CFE"/>
    <w:rsid w:val="009E740F"/>
    <w:rsid w:val="009F67EB"/>
    <w:rsid w:val="00A20A5A"/>
    <w:rsid w:val="00A60D47"/>
    <w:rsid w:val="00A9613D"/>
    <w:rsid w:val="00B04F55"/>
    <w:rsid w:val="00B46BE4"/>
    <w:rsid w:val="00B7739C"/>
    <w:rsid w:val="00C4381D"/>
    <w:rsid w:val="00C50E33"/>
    <w:rsid w:val="00CC4F2B"/>
    <w:rsid w:val="00CD6219"/>
    <w:rsid w:val="00CF2979"/>
    <w:rsid w:val="00D357C0"/>
    <w:rsid w:val="00D40A8D"/>
    <w:rsid w:val="00DA58EB"/>
    <w:rsid w:val="00E22F68"/>
    <w:rsid w:val="00EA34AE"/>
    <w:rsid w:val="00EC7409"/>
    <w:rsid w:val="00F806A2"/>
    <w:rsid w:val="00FB1C08"/>
    <w:rsid w:val="00FB5DB0"/>
    <w:rsid w:val="09AE15AE"/>
    <w:rsid w:val="21E63EEF"/>
    <w:rsid w:val="50D7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1124</Words>
  <Characters>1296</Characters>
  <Lines>8</Lines>
  <Paragraphs>2</Paragraphs>
  <TotalTime>25</TotalTime>
  <ScaleCrop>false</ScaleCrop>
  <LinksUpToDate>false</LinksUpToDate>
  <CharactersWithSpaces>1302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2024-05-08T02:19:00Z</dcterms:created>
  <dc:creator>rdtb（热动替班）</dc:creator>
  <cp:lastModifiedBy>mayn</cp:lastModifiedBy>
  <dcterms:modified xsi:type="dcterms:W3CDTF">2024-10-11T13:36:35Z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4CA4F15DF3E44E52B5E345D124ABFBCB_12</vt:lpwstr>
  </property>
</Properties>
</file>