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C7754">
      <w:pPr>
        <w:jc w:val="center"/>
        <w:rPr>
          <w:rFonts w:ascii="黑体" w:hAnsi="黑体" w:eastAsia="黑体"/>
          <w:sz w:val="36"/>
          <w:szCs w:val="36"/>
        </w:rPr>
      </w:pPr>
      <w:r>
        <w:rPr>
          <w:rFonts w:hint="eastAsia" w:ascii="黑体" w:hAnsi="黑体" w:eastAsia="黑体"/>
          <w:sz w:val="36"/>
          <w:szCs w:val="36"/>
        </w:rPr>
        <w:t>昆明醋酸纤维有限公司柔性化技术改造项目</w:t>
      </w:r>
    </w:p>
    <w:p w14:paraId="32EBEAD9">
      <w:pPr>
        <w:jc w:val="center"/>
        <w:rPr>
          <w:rFonts w:ascii="黑体" w:hAnsi="黑体" w:eastAsia="黑体"/>
          <w:sz w:val="36"/>
          <w:szCs w:val="36"/>
        </w:rPr>
      </w:pPr>
      <w:r>
        <w:rPr>
          <w:rFonts w:hint="eastAsia" w:ascii="黑体" w:hAnsi="黑体" w:eastAsia="黑体"/>
          <w:sz w:val="36"/>
          <w:szCs w:val="36"/>
        </w:rPr>
        <w:t>社会稳定风险评估服务采购技术要求</w:t>
      </w:r>
    </w:p>
    <w:p w14:paraId="55A2EBE3">
      <w:pPr>
        <w:spacing w:line="360" w:lineRule="auto"/>
        <w:rPr>
          <w:rFonts w:hint="eastAsia"/>
          <w:b/>
          <w:sz w:val="24"/>
          <w:szCs w:val="24"/>
        </w:rPr>
      </w:pPr>
    </w:p>
    <w:p w14:paraId="481B861F">
      <w:pPr>
        <w:spacing w:line="360" w:lineRule="auto"/>
        <w:rPr>
          <w:b/>
          <w:sz w:val="24"/>
          <w:szCs w:val="24"/>
        </w:rPr>
      </w:pPr>
      <w:r>
        <w:rPr>
          <w:rFonts w:hint="eastAsia"/>
          <w:b/>
          <w:sz w:val="24"/>
          <w:szCs w:val="24"/>
        </w:rPr>
        <w:t>一、项目简介</w:t>
      </w:r>
    </w:p>
    <w:p w14:paraId="726B4F13">
      <w:pPr>
        <w:spacing w:line="360" w:lineRule="auto"/>
        <w:rPr>
          <w:sz w:val="24"/>
          <w:szCs w:val="24"/>
        </w:rPr>
      </w:pPr>
      <w:r>
        <w:rPr>
          <w:sz w:val="24"/>
          <w:szCs w:val="24"/>
        </w:rPr>
        <w:t>1</w:t>
      </w:r>
      <w:r>
        <w:rPr>
          <w:rFonts w:hint="eastAsia"/>
          <w:sz w:val="24"/>
          <w:szCs w:val="24"/>
        </w:rPr>
        <w:t>.</w:t>
      </w:r>
      <w:r>
        <w:rPr>
          <w:rFonts w:hint="eastAsia"/>
          <w:b/>
          <w:sz w:val="24"/>
          <w:szCs w:val="24"/>
        </w:rPr>
        <w:t>项目名称</w:t>
      </w:r>
    </w:p>
    <w:p w14:paraId="5FBCC6BB">
      <w:pPr>
        <w:spacing w:line="360" w:lineRule="auto"/>
        <w:ind w:firstLine="480" w:firstLineChars="200"/>
        <w:rPr>
          <w:rFonts w:ascii="宋体" w:hAnsi="宋体"/>
          <w:sz w:val="24"/>
          <w:szCs w:val="24"/>
        </w:rPr>
      </w:pPr>
      <w:r>
        <w:rPr>
          <w:rFonts w:hint="eastAsia" w:ascii="宋体" w:hAnsi="宋体"/>
          <w:sz w:val="24"/>
          <w:szCs w:val="24"/>
        </w:rPr>
        <w:t>昆明醋酸纤维有限公司柔性化技术改造项目</w:t>
      </w:r>
    </w:p>
    <w:p w14:paraId="7B48AD86">
      <w:pPr>
        <w:spacing w:line="360" w:lineRule="auto"/>
        <w:rPr>
          <w:sz w:val="24"/>
          <w:szCs w:val="24"/>
        </w:rPr>
      </w:pPr>
      <w:r>
        <w:rPr>
          <w:sz w:val="24"/>
          <w:szCs w:val="24"/>
        </w:rPr>
        <w:t>2</w:t>
      </w:r>
      <w:r>
        <w:rPr>
          <w:rFonts w:hint="eastAsia"/>
          <w:sz w:val="24"/>
          <w:szCs w:val="24"/>
        </w:rPr>
        <w:t>.</w:t>
      </w:r>
      <w:r>
        <w:rPr>
          <w:rFonts w:hint="eastAsia"/>
          <w:b/>
          <w:sz w:val="24"/>
          <w:szCs w:val="24"/>
        </w:rPr>
        <w:t>项目概况</w:t>
      </w:r>
    </w:p>
    <w:p w14:paraId="39920C8F">
      <w:pPr>
        <w:spacing w:line="360" w:lineRule="auto"/>
        <w:ind w:firstLine="480" w:firstLineChars="200"/>
        <w:rPr>
          <w:sz w:val="24"/>
          <w:szCs w:val="24"/>
        </w:rPr>
      </w:pPr>
      <w:r>
        <w:rPr>
          <w:rFonts w:hint="eastAsia"/>
          <w:sz w:val="24"/>
          <w:szCs w:val="24"/>
        </w:rPr>
        <w:t>昆明醋酸纤维有限公司（以下简称昆纤公司）是由中国烟草总公司和美国塞拉尼斯公司共同投资兴建的合资企业，专业生产烟用二醋酸纤维素丝束，成立于1993年5月21日。昆纤公司现有4条生产线，年产常规规格烟用二醋酸纤维素丝束3</w:t>
      </w:r>
      <w:r>
        <w:rPr>
          <w:sz w:val="24"/>
          <w:szCs w:val="24"/>
        </w:rPr>
        <w:t>.5</w:t>
      </w:r>
      <w:r>
        <w:rPr>
          <w:rFonts w:hint="eastAsia"/>
          <w:sz w:val="24"/>
          <w:szCs w:val="24"/>
        </w:rPr>
        <w:t>万吨。</w:t>
      </w:r>
      <w:r>
        <w:rPr>
          <w:sz w:val="24"/>
          <w:szCs w:val="24"/>
        </w:rPr>
        <w:t>近年来，</w:t>
      </w:r>
      <w:r>
        <w:rPr>
          <w:rFonts w:hint="eastAsia"/>
          <w:sz w:val="24"/>
          <w:szCs w:val="24"/>
        </w:rPr>
        <w:t>面临卷烟产品结构提升的行业内在需求，细支烟成为驱动行业创新发展的一大品类力量。细支烟主要使用的特规丝束从趋势看，未来需求仍有较大的增长空间。</w:t>
      </w:r>
      <w:bookmarkStart w:id="0" w:name="_Hlk207292216"/>
      <w:r>
        <w:rPr>
          <w:rFonts w:hint="eastAsia"/>
          <w:sz w:val="24"/>
          <w:szCs w:val="24"/>
        </w:rPr>
        <w:t>昆纤公司柔性化技术改造项目围绕新品开发能力提升、产品结构多元化和柔性化生产开展技术改造，在保持年产3.5万吨丝束产能不变的情况下：一是适应市场和客户需求的变化，调整丝束产品规格结构，有效化解因生产特规丝束造成的产能损失；二是为新产品的开发试制和柔性化生产提供支撑，加速推进新产品开发和小批量定制化生产融入大规模生产；三是改善现有丝束生产线满负荷运行、核心设备运行率居高不下的情况，保证足够的安全生产裕量和设备维保周期。</w:t>
      </w:r>
      <w:bookmarkStart w:id="1" w:name="_Hlk207282546"/>
      <w:bookmarkStart w:id="2" w:name="_Hlk207290193"/>
      <w:r>
        <w:rPr>
          <w:rFonts w:hint="eastAsia"/>
          <w:sz w:val="24"/>
          <w:szCs w:val="24"/>
        </w:rPr>
        <w:t>通过改建丝束大楼，布置一条柔性化丝束生产线，该丝束生产线达产后，具备年产0.4</w:t>
      </w:r>
      <w:r>
        <w:rPr>
          <w:sz w:val="24"/>
          <w:szCs w:val="24"/>
        </w:rPr>
        <w:t>5</w:t>
      </w:r>
      <w:r>
        <w:rPr>
          <w:rFonts w:hint="eastAsia"/>
          <w:sz w:val="24"/>
          <w:szCs w:val="24"/>
        </w:rPr>
        <w:t>万吨特规丝束的生产能力。同时，在公司总体产能保持3.5万吨的基础上，可具备全年特规丝束0.9万吨的生产能力，</w:t>
      </w:r>
      <w:bookmarkEnd w:id="1"/>
      <w:r>
        <w:rPr>
          <w:rFonts w:hint="eastAsia"/>
          <w:sz w:val="24"/>
          <w:szCs w:val="24"/>
        </w:rPr>
        <w:t>满足市场对于特规丝束的需求。</w:t>
      </w:r>
      <w:bookmarkEnd w:id="0"/>
      <w:bookmarkEnd w:id="2"/>
    </w:p>
    <w:p w14:paraId="014EF2BB">
      <w:pPr>
        <w:spacing w:line="360" w:lineRule="auto"/>
        <w:rPr>
          <w:b/>
          <w:sz w:val="24"/>
          <w:szCs w:val="24"/>
        </w:rPr>
      </w:pPr>
      <w:r>
        <w:rPr>
          <w:b/>
          <w:sz w:val="24"/>
          <w:szCs w:val="24"/>
        </w:rPr>
        <w:t>3</w:t>
      </w:r>
      <w:r>
        <w:rPr>
          <w:rFonts w:hint="eastAsia"/>
          <w:b/>
          <w:sz w:val="24"/>
          <w:szCs w:val="24"/>
        </w:rPr>
        <w:t>.项目地点</w:t>
      </w:r>
    </w:p>
    <w:p w14:paraId="761CE823">
      <w:pPr>
        <w:spacing w:line="360" w:lineRule="auto"/>
        <w:ind w:firstLine="480" w:firstLineChars="200"/>
        <w:rPr>
          <w:sz w:val="24"/>
          <w:szCs w:val="24"/>
        </w:rPr>
      </w:pPr>
      <w:r>
        <w:rPr>
          <w:rFonts w:hint="eastAsia"/>
          <w:sz w:val="24"/>
          <w:szCs w:val="24"/>
        </w:rPr>
        <w:t>昆明市盘龙区穿金路7</w:t>
      </w:r>
      <w:r>
        <w:rPr>
          <w:sz w:val="24"/>
          <w:szCs w:val="24"/>
        </w:rPr>
        <w:t>25</w:t>
      </w:r>
      <w:r>
        <w:rPr>
          <w:rFonts w:hint="eastAsia"/>
          <w:sz w:val="24"/>
          <w:szCs w:val="24"/>
        </w:rPr>
        <w:t>号昆纤公司现址内。</w:t>
      </w:r>
    </w:p>
    <w:p w14:paraId="497973E4">
      <w:pPr>
        <w:spacing w:line="360" w:lineRule="auto"/>
        <w:rPr>
          <w:b/>
          <w:sz w:val="24"/>
          <w:szCs w:val="24"/>
        </w:rPr>
      </w:pPr>
      <w:r>
        <w:rPr>
          <w:rFonts w:hint="eastAsia"/>
          <w:b/>
          <w:sz w:val="24"/>
          <w:szCs w:val="24"/>
        </w:rPr>
        <w:t>4.现场条件</w:t>
      </w:r>
    </w:p>
    <w:p w14:paraId="7868D64E">
      <w:pPr>
        <w:spacing w:line="360" w:lineRule="auto"/>
        <w:ind w:firstLine="480" w:firstLineChars="200"/>
        <w:rPr>
          <w:color w:val="auto"/>
          <w:sz w:val="24"/>
          <w:szCs w:val="24"/>
        </w:rPr>
      </w:pPr>
      <w:r>
        <w:rPr>
          <w:rFonts w:hint="eastAsia"/>
          <w:sz w:val="24"/>
          <w:szCs w:val="24"/>
        </w:rPr>
        <w:t>现场条件由</w:t>
      </w:r>
      <w:r>
        <w:rPr>
          <w:rFonts w:hint="eastAsia"/>
          <w:color w:val="auto"/>
          <w:sz w:val="24"/>
          <w:szCs w:val="24"/>
        </w:rPr>
        <w:t>承接方根据现场考察结果自行获得。其他需要的资料由昆纤公司根据需要提供。</w:t>
      </w:r>
    </w:p>
    <w:p w14:paraId="3554B543">
      <w:pPr>
        <w:pStyle w:val="2"/>
        <w:numPr>
          <w:ilvl w:val="0"/>
          <w:numId w:val="1"/>
        </w:numPr>
        <w:rPr>
          <w:rFonts w:asciiTheme="minorHAnsi"/>
          <w:b/>
          <w:bCs/>
          <w:color w:val="auto"/>
          <w:sz w:val="24"/>
          <w:szCs w:val="24"/>
        </w:rPr>
      </w:pPr>
      <w:r>
        <w:rPr>
          <w:rFonts w:hint="eastAsia" w:asciiTheme="minorHAnsi"/>
          <w:b/>
          <w:bCs/>
          <w:color w:val="auto"/>
          <w:sz w:val="24"/>
          <w:szCs w:val="24"/>
        </w:rPr>
        <w:t>服务周期</w:t>
      </w:r>
    </w:p>
    <w:p w14:paraId="4F4DD550">
      <w:pPr>
        <w:spacing w:line="360" w:lineRule="auto"/>
        <w:ind w:firstLine="480" w:firstLineChars="200"/>
        <w:rPr>
          <w:color w:val="auto"/>
          <w:sz w:val="24"/>
          <w:szCs w:val="24"/>
        </w:rPr>
      </w:pPr>
      <w:r>
        <w:rPr>
          <w:rFonts w:hint="eastAsia"/>
          <w:color w:val="auto"/>
          <w:sz w:val="24"/>
          <w:szCs w:val="24"/>
        </w:rPr>
        <w:t>自合同签订之日起至昆纤公司柔性化技术改造项目社会稳定风险评估报告提交盘龙区区委政法委员会备案，并取得备案批复意见为止（如本项目备案需由省级或市级政法委员会备案的，则服务周期至本项目社会稳定风险评估报告提交云南省或昆明市政法委员会备案，并取得备案批复意见为止）。</w:t>
      </w:r>
    </w:p>
    <w:p w14:paraId="58AD8939">
      <w:pPr>
        <w:spacing w:line="360" w:lineRule="auto"/>
        <w:rPr>
          <w:color w:val="auto"/>
          <w:sz w:val="24"/>
          <w:szCs w:val="24"/>
        </w:rPr>
      </w:pPr>
      <w:r>
        <w:rPr>
          <w:rFonts w:hint="eastAsia"/>
          <w:color w:val="auto"/>
          <w:sz w:val="24"/>
          <w:szCs w:val="24"/>
        </w:rPr>
        <w:t>6.报价说明。采用总包价，合同价款包括但不限于人工费、保险费、报告编制及修改费、调查费、资料收集、评审费、提供全套成果资料费、利润、税金等所有费用，及其他涉及文件的编制费用、聘请专家、审批、批复，会务费等，直至获得政法委员会备案及批复、完成重大事项社会稳定风险应急预案编制，并将所有资料备案的全部费用。合同履行期间，甲方不再支付其它任何费用。</w:t>
      </w:r>
    </w:p>
    <w:p w14:paraId="585E5D80">
      <w:pPr>
        <w:pStyle w:val="2"/>
        <w:rPr>
          <w:rFonts w:hAnsi="宋体" w:eastAsia="宋体" w:cs="Times New Roman"/>
          <w:b/>
          <w:color w:val="auto"/>
          <w:sz w:val="24"/>
          <w:szCs w:val="24"/>
          <w:highlight w:val="yellow"/>
        </w:rPr>
      </w:pPr>
    </w:p>
    <w:p w14:paraId="5747860A">
      <w:pPr>
        <w:pStyle w:val="2"/>
        <w:rPr>
          <w:rFonts w:hAnsi="宋体" w:eastAsia="宋体" w:cs="Times New Roman"/>
          <w:b/>
          <w:color w:val="auto"/>
          <w:sz w:val="24"/>
          <w:szCs w:val="24"/>
        </w:rPr>
      </w:pPr>
    </w:p>
    <w:p w14:paraId="0D7A8334">
      <w:pPr>
        <w:pStyle w:val="2"/>
        <w:rPr>
          <w:rFonts w:hAnsi="宋体" w:eastAsia="宋体" w:cs="Times New Roman"/>
          <w:b/>
          <w:color w:val="auto"/>
          <w:sz w:val="24"/>
          <w:szCs w:val="24"/>
        </w:rPr>
      </w:pPr>
      <w:r>
        <w:rPr>
          <w:rFonts w:hint="eastAsia" w:hAnsi="宋体" w:eastAsia="宋体" w:cs="Times New Roman"/>
          <w:b/>
          <w:color w:val="auto"/>
          <w:sz w:val="24"/>
          <w:szCs w:val="24"/>
        </w:rPr>
        <w:t>二、技术标准和规范</w:t>
      </w:r>
    </w:p>
    <w:p w14:paraId="6F5F9621">
      <w:pPr>
        <w:spacing w:line="360" w:lineRule="auto"/>
        <w:ind w:firstLine="480" w:firstLineChars="200"/>
        <w:rPr>
          <w:color w:val="auto"/>
          <w:sz w:val="24"/>
          <w:szCs w:val="24"/>
        </w:rPr>
      </w:pPr>
      <w:r>
        <w:rPr>
          <w:rFonts w:hint="eastAsia"/>
          <w:color w:val="auto"/>
          <w:sz w:val="24"/>
          <w:szCs w:val="24"/>
        </w:rPr>
        <w:t>执行《国家发展改革委重大固定资产投资项目社会稳定风险评估暂行办法》（发改投资〔2012〕2492号）、《国家发展改革委办公厅关于印发重大固定资产投资项目社会稳定风险分析篇章和评估报告编制大纲（试行）的通知》（发改办投资〔2013〕428号）及《重大固定资产投资项目社会稳定风险分析篇章编制大纲及说明（试行）》和《重大固定资产投资项目社会稳定风险评估报告编制大纲及说明（试行）》；符合《中共昆明市委办公室、昆明市人民政府办公室关于印发&lt;昆明市重大决策社会稳定风险评估工作实施办法&gt;的通知》（昆办发〔2021〕16号）等国家、省、市以及行业现行的相关法律、法规规定，技术标准及政府的审批要求。</w:t>
      </w:r>
    </w:p>
    <w:p w14:paraId="2CE3E947">
      <w:pPr>
        <w:pStyle w:val="2"/>
      </w:pPr>
    </w:p>
    <w:p w14:paraId="4E698564">
      <w:pPr>
        <w:spacing w:line="360" w:lineRule="auto"/>
        <w:rPr>
          <w:b/>
          <w:sz w:val="24"/>
          <w:szCs w:val="24"/>
        </w:rPr>
      </w:pPr>
      <w:r>
        <w:rPr>
          <w:rFonts w:hint="eastAsia"/>
          <w:b/>
          <w:sz w:val="24"/>
          <w:szCs w:val="24"/>
        </w:rPr>
        <w:t>三、实施内容和要求</w:t>
      </w:r>
    </w:p>
    <w:p w14:paraId="33CEFDC4">
      <w:pPr>
        <w:spacing w:line="360" w:lineRule="auto"/>
        <w:rPr>
          <w:sz w:val="24"/>
          <w:szCs w:val="24"/>
        </w:rPr>
      </w:pPr>
      <w:r>
        <w:rPr>
          <w:rFonts w:hint="eastAsia"/>
          <w:sz w:val="24"/>
          <w:szCs w:val="24"/>
        </w:rPr>
        <w:t>1.服务目标</w:t>
      </w:r>
    </w:p>
    <w:p w14:paraId="00FC34D4">
      <w:pPr>
        <w:spacing w:line="360" w:lineRule="auto"/>
        <w:ind w:firstLine="480" w:firstLineChars="200"/>
        <w:rPr>
          <w:sz w:val="24"/>
          <w:szCs w:val="24"/>
        </w:rPr>
      </w:pPr>
      <w:r>
        <w:rPr>
          <w:rFonts w:hint="eastAsia"/>
          <w:sz w:val="24"/>
          <w:szCs w:val="24"/>
        </w:rPr>
        <w:t>依据国家、省、市、县区等相关政策文件，通过评估机构的高度配合，按照规范的评估程序，对重大事项决策可能影响社会稳定的因素进行预测、分析和评估。提出风险防范和化解措施，确定风险等级、作出风险评估结论，为政府相关部门或企业项目决策提供参考依据。编制该项目的社会稳定风险评估报告，完成由项目所在地人民政府或其有关部门指定的评估主体组织对项目单位做出的社会稳定风险分析评估论证，取得专家评审意见，按政府审批机关要求提交相关政府备案，并取得项目的社会稳定风险评估报告备案批复。</w:t>
      </w:r>
    </w:p>
    <w:p w14:paraId="24F8DE79">
      <w:pPr>
        <w:spacing w:line="360" w:lineRule="auto"/>
        <w:rPr>
          <w:sz w:val="24"/>
          <w:szCs w:val="24"/>
        </w:rPr>
      </w:pPr>
      <w:r>
        <w:rPr>
          <w:rFonts w:hint="eastAsia"/>
          <w:sz w:val="24"/>
          <w:szCs w:val="24"/>
        </w:rPr>
        <w:t>2.服务内容</w:t>
      </w:r>
    </w:p>
    <w:p w14:paraId="72EF41E6">
      <w:pPr>
        <w:spacing w:line="360" w:lineRule="auto"/>
        <w:rPr>
          <w:sz w:val="24"/>
          <w:szCs w:val="24"/>
        </w:rPr>
      </w:pPr>
      <w:r>
        <w:rPr>
          <w:rFonts w:hint="eastAsia"/>
          <w:sz w:val="24"/>
          <w:szCs w:val="24"/>
        </w:rPr>
        <w:t>2.1收集项目相关资料、了解项目基本情况。</w:t>
      </w:r>
    </w:p>
    <w:p w14:paraId="18C4F09F">
      <w:pPr>
        <w:spacing w:line="360" w:lineRule="auto"/>
        <w:rPr>
          <w:sz w:val="24"/>
          <w:szCs w:val="24"/>
        </w:rPr>
      </w:pPr>
      <w:r>
        <w:rPr>
          <w:rFonts w:hint="eastAsia"/>
          <w:sz w:val="24"/>
          <w:szCs w:val="24"/>
        </w:rPr>
        <w:t>2.2根据项目涉及范围及难度，组建项目组，包括项目负责人及组员，制定项目工作方案。</w:t>
      </w:r>
    </w:p>
    <w:p w14:paraId="08505C45">
      <w:pPr>
        <w:spacing w:line="360" w:lineRule="auto"/>
        <w:rPr>
          <w:sz w:val="24"/>
          <w:szCs w:val="24"/>
        </w:rPr>
      </w:pPr>
      <w:r>
        <w:rPr>
          <w:rFonts w:hint="eastAsia"/>
          <w:sz w:val="24"/>
          <w:szCs w:val="24"/>
        </w:rPr>
        <w:t>2.3开展实地调研问卷调查、实地走访，根据备案要求填写问卷调查表、走访记录表。</w:t>
      </w:r>
    </w:p>
    <w:p w14:paraId="30FB9BB8">
      <w:pPr>
        <w:spacing w:line="360" w:lineRule="auto"/>
        <w:rPr>
          <w:sz w:val="24"/>
          <w:szCs w:val="24"/>
        </w:rPr>
      </w:pPr>
      <w:r>
        <w:rPr>
          <w:rFonts w:hint="eastAsia"/>
          <w:sz w:val="24"/>
          <w:szCs w:val="24"/>
        </w:rPr>
        <w:t>2.4协助组织召开座谈会，充分听取意见，收集存在的风险。</w:t>
      </w:r>
    </w:p>
    <w:p w14:paraId="27AC6420">
      <w:pPr>
        <w:spacing w:line="360" w:lineRule="auto"/>
        <w:rPr>
          <w:sz w:val="24"/>
          <w:szCs w:val="24"/>
        </w:rPr>
      </w:pPr>
      <w:r>
        <w:rPr>
          <w:rFonts w:hint="eastAsia"/>
          <w:sz w:val="24"/>
          <w:szCs w:val="24"/>
        </w:rPr>
        <w:t>2.5根据问卷调查、走访调查及座谈会的意见收集，确定风险因素，确定风险等级。</w:t>
      </w:r>
    </w:p>
    <w:p w14:paraId="307460A3">
      <w:pPr>
        <w:spacing w:line="360" w:lineRule="auto"/>
        <w:rPr>
          <w:sz w:val="24"/>
          <w:szCs w:val="24"/>
        </w:rPr>
      </w:pPr>
      <w:r>
        <w:rPr>
          <w:rFonts w:hint="eastAsia"/>
          <w:sz w:val="24"/>
          <w:szCs w:val="24"/>
        </w:rPr>
        <w:t>2.6提出风险防范与化解措施。</w:t>
      </w:r>
    </w:p>
    <w:p w14:paraId="0A3B71E8">
      <w:pPr>
        <w:spacing w:line="360" w:lineRule="auto"/>
        <w:rPr>
          <w:sz w:val="24"/>
          <w:szCs w:val="24"/>
        </w:rPr>
      </w:pPr>
      <w:r>
        <w:rPr>
          <w:rFonts w:hint="eastAsia"/>
          <w:sz w:val="24"/>
          <w:szCs w:val="24"/>
        </w:rPr>
        <w:t>2.7协助组织召开专家论证会，对初步确定的风险等级进行分析论证。</w:t>
      </w:r>
    </w:p>
    <w:p w14:paraId="36FBD380">
      <w:pPr>
        <w:spacing w:line="360" w:lineRule="auto"/>
        <w:rPr>
          <w:sz w:val="24"/>
          <w:szCs w:val="24"/>
        </w:rPr>
      </w:pPr>
      <w:r>
        <w:rPr>
          <w:rFonts w:hint="eastAsia"/>
          <w:sz w:val="24"/>
          <w:szCs w:val="24"/>
        </w:rPr>
        <w:t>2.8编制该项目的社会稳定风险评估报告。评估报告的主要内容包括但不限于项目建设实施的合法性、合理性、可行性、可控性，可能引发的社会稳定风险，各方面意见及其采纳情况，风险评估结论和对策建议，风险防范和化解措施以及应急处置预案等内容。</w:t>
      </w:r>
    </w:p>
    <w:p w14:paraId="530FBE9F">
      <w:pPr>
        <w:spacing w:line="360" w:lineRule="auto"/>
        <w:rPr>
          <w:sz w:val="24"/>
          <w:szCs w:val="24"/>
        </w:rPr>
      </w:pPr>
      <w:r>
        <w:rPr>
          <w:rFonts w:hint="eastAsia"/>
          <w:sz w:val="24"/>
          <w:szCs w:val="24"/>
        </w:rPr>
        <w:t>2.9协助组织召开报告评审会，收集是否予以实施的评审意见。</w:t>
      </w:r>
    </w:p>
    <w:p w14:paraId="1CB4D1B4">
      <w:pPr>
        <w:spacing w:line="360" w:lineRule="auto"/>
        <w:rPr>
          <w:sz w:val="24"/>
          <w:szCs w:val="24"/>
        </w:rPr>
      </w:pPr>
      <w:r>
        <w:rPr>
          <w:rFonts w:hint="eastAsia"/>
          <w:sz w:val="24"/>
          <w:szCs w:val="24"/>
        </w:rPr>
        <w:t>2.10协助委托方前往辖区政法委维稳办提交备案资料，取得备案批复。</w:t>
      </w:r>
    </w:p>
    <w:p w14:paraId="798192D3">
      <w:pPr>
        <w:spacing w:line="360" w:lineRule="auto"/>
        <w:rPr>
          <w:sz w:val="24"/>
          <w:szCs w:val="24"/>
        </w:rPr>
      </w:pPr>
      <w:r>
        <w:rPr>
          <w:rFonts w:hint="eastAsia"/>
          <w:sz w:val="24"/>
          <w:szCs w:val="24"/>
        </w:rPr>
        <w:t>3.成果交付</w:t>
      </w:r>
    </w:p>
    <w:p w14:paraId="7AD4E7FF">
      <w:pPr>
        <w:spacing w:line="360" w:lineRule="auto"/>
        <w:rPr>
          <w:sz w:val="24"/>
          <w:szCs w:val="24"/>
          <w:highlight w:val="yellow"/>
        </w:rPr>
      </w:pPr>
      <w:r>
        <w:rPr>
          <w:rFonts w:hint="eastAsia"/>
          <w:sz w:val="24"/>
          <w:szCs w:val="24"/>
        </w:rPr>
        <w:t>3.1交付时限：签订合同之日起</w:t>
      </w:r>
      <w:r>
        <w:rPr>
          <w:sz w:val="24"/>
          <w:szCs w:val="24"/>
        </w:rPr>
        <w:t>30</w:t>
      </w:r>
      <w:r>
        <w:rPr>
          <w:rFonts w:hint="eastAsia"/>
          <w:sz w:val="24"/>
          <w:szCs w:val="24"/>
        </w:rPr>
        <w:t>天（日历日）内完成服务内容，提交辖区政法委维稳办备案资料，并取得备案批复。</w:t>
      </w:r>
    </w:p>
    <w:p w14:paraId="58A07563">
      <w:pPr>
        <w:spacing w:line="360" w:lineRule="auto"/>
        <w:rPr>
          <w:sz w:val="24"/>
          <w:szCs w:val="24"/>
        </w:rPr>
      </w:pPr>
      <w:r>
        <w:rPr>
          <w:rFonts w:hint="eastAsia"/>
          <w:sz w:val="24"/>
          <w:szCs w:val="24"/>
        </w:rPr>
        <w:t>3.2交付方式：现场交付，提交至辖区政法委备案。</w:t>
      </w:r>
    </w:p>
    <w:p w14:paraId="3C2803E7">
      <w:pPr>
        <w:spacing w:line="360" w:lineRule="auto"/>
        <w:rPr>
          <w:sz w:val="24"/>
          <w:szCs w:val="24"/>
        </w:rPr>
      </w:pPr>
      <w:r>
        <w:rPr>
          <w:rFonts w:hint="eastAsia"/>
          <w:sz w:val="24"/>
          <w:szCs w:val="24"/>
        </w:rPr>
        <w:t>3.3成果内容：需提交社会稳定风险评估报告纸质版六份、WORD电子版本一份、PDF电子版本报告一份。按照政法委维稳办要求提供备案的相关附件资料一份，其他委托方要求配合提供的资料。提供全套走访调查、意见收集、专家评审、政府备案批复意见等的原件资料。</w:t>
      </w:r>
    </w:p>
    <w:p w14:paraId="5948D293">
      <w:pPr>
        <w:spacing w:line="360" w:lineRule="auto"/>
        <w:rPr>
          <w:sz w:val="24"/>
          <w:szCs w:val="24"/>
        </w:rPr>
      </w:pPr>
      <w:r>
        <w:rPr>
          <w:rFonts w:hint="eastAsia"/>
          <w:sz w:val="24"/>
          <w:szCs w:val="24"/>
        </w:rPr>
        <w:t>3.4成果质量标准：提供的评估报告满足相关规范要求，并对提供的报告的准确性负责，确保成果资料完整、真实准确、清晰有据，并对所出具的评估报告承担相应的法律责任。</w:t>
      </w:r>
    </w:p>
    <w:p w14:paraId="554BF26F">
      <w:pPr>
        <w:spacing w:line="360" w:lineRule="auto"/>
        <w:rPr>
          <w:sz w:val="24"/>
          <w:szCs w:val="24"/>
        </w:rPr>
      </w:pPr>
      <w:r>
        <w:rPr>
          <w:rFonts w:hint="eastAsia"/>
          <w:sz w:val="24"/>
          <w:szCs w:val="24"/>
        </w:rPr>
        <w:t>3.5成果的验收方法：技术成果资料需获得甲方认可后方可交付，否则甲方不予接收。乙方所做的成果符合相关部门的审批要求。</w:t>
      </w:r>
    </w:p>
    <w:p w14:paraId="62C8E943">
      <w:pPr>
        <w:spacing w:line="360" w:lineRule="auto"/>
        <w:rPr>
          <w:sz w:val="24"/>
          <w:szCs w:val="24"/>
        </w:rPr>
      </w:pPr>
      <w:r>
        <w:rPr>
          <w:rFonts w:hint="eastAsia"/>
          <w:sz w:val="24"/>
          <w:szCs w:val="24"/>
        </w:rPr>
        <w:t>3.6工作结束时点：提供的报告和备案资料通过政法委维稳办的检查、接收，并取得批复意见，即可认定为此次社会稳定风险评估工作完成。</w:t>
      </w:r>
    </w:p>
    <w:p w14:paraId="521F7B06">
      <w:pPr>
        <w:spacing w:line="360" w:lineRule="auto"/>
        <w:rPr>
          <w:sz w:val="24"/>
          <w:szCs w:val="24"/>
        </w:rPr>
      </w:pPr>
      <w:r>
        <w:rPr>
          <w:rFonts w:hint="eastAsia"/>
          <w:sz w:val="24"/>
          <w:szCs w:val="24"/>
        </w:rPr>
        <w:t>3.7提交重大事项社会稳定风险应急预案。</w:t>
      </w:r>
    </w:p>
    <w:p w14:paraId="12C2654D">
      <w:pPr>
        <w:spacing w:line="360" w:lineRule="auto"/>
        <w:rPr>
          <w:b/>
          <w:sz w:val="24"/>
          <w:szCs w:val="24"/>
        </w:rPr>
      </w:pPr>
    </w:p>
    <w:p w14:paraId="688B1E40">
      <w:pPr>
        <w:spacing w:line="360" w:lineRule="auto"/>
        <w:rPr>
          <w:b/>
          <w:bCs/>
          <w:sz w:val="24"/>
          <w:szCs w:val="24"/>
        </w:rPr>
      </w:pPr>
      <w:r>
        <w:rPr>
          <w:rFonts w:hint="eastAsia"/>
          <w:b/>
          <w:bCs/>
          <w:sz w:val="24"/>
          <w:szCs w:val="24"/>
        </w:rPr>
        <w:t>四、承接方的资格要求</w:t>
      </w:r>
    </w:p>
    <w:p w14:paraId="6E477E28">
      <w:pPr>
        <w:spacing w:line="360" w:lineRule="auto"/>
        <w:rPr>
          <w:color w:val="auto"/>
          <w:sz w:val="24"/>
          <w:szCs w:val="24"/>
        </w:rPr>
      </w:pPr>
      <w:r>
        <w:rPr>
          <w:rFonts w:hint="eastAsia"/>
          <w:sz w:val="24"/>
          <w:szCs w:val="24"/>
        </w:rPr>
        <w:t>4.1必须为在中华人民共和国注册，具备独立法人资格，并具备有效的营业执照、组</w:t>
      </w:r>
      <w:r>
        <w:rPr>
          <w:rFonts w:hint="eastAsia"/>
          <w:color w:val="auto"/>
          <w:sz w:val="24"/>
          <w:szCs w:val="24"/>
        </w:rPr>
        <w:t>织机构代码证及税务登记证（已办理三证合一的提供营业执照），公司营业执照中的经营范围需包含社会稳定风险评估。</w:t>
      </w:r>
    </w:p>
    <w:p w14:paraId="6C5C5C2F">
      <w:pPr>
        <w:spacing w:line="360" w:lineRule="auto"/>
        <w:rPr>
          <w:color w:val="auto"/>
          <w:sz w:val="24"/>
          <w:szCs w:val="24"/>
        </w:rPr>
      </w:pPr>
      <w:r>
        <w:rPr>
          <w:rFonts w:hint="eastAsia"/>
          <w:color w:val="auto"/>
          <w:sz w:val="24"/>
          <w:szCs w:val="24"/>
        </w:rPr>
        <w:t>4.2承接方必须在中共昆明市委政法委员会发布的“2025年昆明市重大决策社会稳定风险评估第三方机构数据库成员公示名单中”。</w:t>
      </w:r>
    </w:p>
    <w:p w14:paraId="48CF1318">
      <w:pPr>
        <w:spacing w:line="360" w:lineRule="auto"/>
        <w:rPr>
          <w:sz w:val="24"/>
          <w:szCs w:val="24"/>
        </w:rPr>
      </w:pPr>
      <w:r>
        <w:rPr>
          <w:rFonts w:hint="eastAsia"/>
          <w:sz w:val="24"/>
          <w:szCs w:val="24"/>
        </w:rPr>
        <w:t>4.3财务要求：提供2023年度或2024年度经审计的财务会计报表及审计报告；未经审计的，提供供应商自行编制的财务会计报表（加盖公章）；新成立的公司，提供公司财务情况说明（加盖公章）。</w:t>
      </w:r>
    </w:p>
    <w:p w14:paraId="1FD03519">
      <w:pPr>
        <w:spacing w:line="360" w:lineRule="auto"/>
        <w:rPr>
          <w:color w:val="auto"/>
          <w:sz w:val="24"/>
          <w:szCs w:val="24"/>
        </w:rPr>
      </w:pPr>
      <w:r>
        <w:rPr>
          <w:rFonts w:hint="eastAsia"/>
          <w:sz w:val="24"/>
          <w:szCs w:val="24"/>
        </w:rPr>
        <w:t>4.4信誉要求：供应商没有处于被责令停业或财产被接管、冻结、破产状态；没有受到取消投标资格的</w:t>
      </w:r>
      <w:r>
        <w:rPr>
          <w:rFonts w:hint="eastAsia"/>
          <w:color w:val="auto"/>
          <w:sz w:val="24"/>
          <w:szCs w:val="24"/>
        </w:rPr>
        <w:t>行政处罚；2021年1月1日至今，没有骗取中标或严重违约等情况。</w:t>
      </w:r>
    </w:p>
    <w:p w14:paraId="408FDC3B">
      <w:pPr>
        <w:spacing w:line="360" w:lineRule="auto"/>
        <w:rPr>
          <w:color w:val="auto"/>
          <w:sz w:val="24"/>
          <w:szCs w:val="24"/>
        </w:rPr>
      </w:pPr>
      <w:r>
        <w:rPr>
          <w:rFonts w:hint="eastAsia"/>
          <w:color w:val="auto"/>
          <w:sz w:val="24"/>
          <w:szCs w:val="24"/>
        </w:rPr>
        <w:t>4.5提供近三年（202</w:t>
      </w:r>
      <w:r>
        <w:rPr>
          <w:color w:val="auto"/>
          <w:sz w:val="24"/>
          <w:szCs w:val="24"/>
        </w:rPr>
        <w:t>2</w:t>
      </w:r>
      <w:r>
        <w:rPr>
          <w:rFonts w:hint="eastAsia"/>
          <w:color w:val="auto"/>
          <w:sz w:val="24"/>
          <w:szCs w:val="24"/>
        </w:rPr>
        <w:t>年10月1日起至2025年10月1日止）开展稳评事项的业绩清单，具有履行合同所必需的专业技术能力，及在人员、设备、资金等方面具备相应的能力。熟悉社会稳定风险评估工作的基本程序、评估内容和方式方法，提供具备履行合同所必需的专业技术能力的证明材料。稳评项目负责人及主要编制人员须为编制单位中的全职人员，且近三年有编制稳评报告书的相关经历。</w:t>
      </w:r>
    </w:p>
    <w:p w14:paraId="58B98DBA">
      <w:pPr>
        <w:spacing w:line="360" w:lineRule="auto"/>
        <w:rPr>
          <w:sz w:val="24"/>
          <w:szCs w:val="24"/>
        </w:rPr>
      </w:pPr>
      <w:r>
        <w:rPr>
          <w:rFonts w:hint="eastAsia"/>
          <w:color w:val="auto"/>
          <w:sz w:val="24"/>
          <w:szCs w:val="24"/>
        </w:rPr>
        <w:t>4.6有依法缴纳税收和社会保障资金的良好记录。提供2024年6月至今任意1个月依法缴纳税收和缴纳社会保障资金的证明(成立未满1个月的提供成立以来的税收和社会保障资金缴纳凭据</w:t>
      </w:r>
      <w:r>
        <w:rPr>
          <w:rFonts w:hint="eastAsia"/>
          <w:sz w:val="24"/>
          <w:szCs w:val="24"/>
        </w:rPr>
        <w:t>；依法免税或不需要缴纳社会保障资金的供应商，应提供相应文件证明其依法免税或不需要缴纳社会保障资金)。</w:t>
      </w:r>
    </w:p>
    <w:p w14:paraId="2C3B7AC4">
      <w:pPr>
        <w:spacing w:line="360" w:lineRule="auto"/>
        <w:rPr>
          <w:sz w:val="24"/>
          <w:szCs w:val="24"/>
        </w:rPr>
      </w:pPr>
      <w:r>
        <w:rPr>
          <w:rFonts w:hint="eastAsia"/>
          <w:sz w:val="24"/>
          <w:szCs w:val="24"/>
        </w:rPr>
        <w:t>4.7供应商应在“信用中国”网站(www.creditchina.gov.cn)未被列入失信被执行人记录、重大税收违法案件当事人名单且在中国政府采购网(www.ccgp.gov.cn)没有政府采购严重违法失信行为记录(被禁止在一定期限内参加政府采购活动但期限届满的除外)，在国家企业信用信息公示系统（www.gsxt.gov.cn）中未出现列入严重违法失信企业名单（黑名单）。参与本项目的供应商信用查询截止时点：本项目竞争性磋商公告发布之日起至响应文件递交截止时间（以采购人、采购代理机构查询结果为准）。承接方及其法定代表人无行贿犯罪记录，由承接方自行承诺，如在“中国裁判文书网（http://wenshu.court.gov.cn）”上查询发现承诺内容与查询结果不相符的其资格无效。</w:t>
      </w:r>
    </w:p>
    <w:p w14:paraId="7C2DD202">
      <w:pPr>
        <w:spacing w:line="360" w:lineRule="auto"/>
        <w:rPr>
          <w:sz w:val="24"/>
          <w:szCs w:val="24"/>
        </w:rPr>
      </w:pPr>
      <w:r>
        <w:rPr>
          <w:rFonts w:hint="eastAsia"/>
          <w:sz w:val="24"/>
          <w:szCs w:val="24"/>
        </w:rPr>
        <w:t>4.8未被认定有拖欠劳务工资行为、不正当竞争行为、欺诈行为、商业贿赂等腐败行为，近期没有发生安全、质量事故（一般事故为半年，重大事故为一年，特大事故为三年）。</w:t>
      </w:r>
    </w:p>
    <w:p w14:paraId="67B5ED61">
      <w:pPr>
        <w:spacing w:line="360" w:lineRule="auto"/>
        <w:rPr>
          <w:strike/>
          <w:sz w:val="24"/>
          <w:szCs w:val="24"/>
        </w:rPr>
      </w:pPr>
    </w:p>
    <w:p w14:paraId="721CB919">
      <w:pPr>
        <w:spacing w:line="360" w:lineRule="auto"/>
        <w:rPr>
          <w:bCs/>
          <w:sz w:val="24"/>
          <w:szCs w:val="24"/>
        </w:rPr>
      </w:pPr>
      <w:bookmarkStart w:id="3" w:name="_GoBack"/>
      <w:r>
        <w:rPr>
          <w:rFonts w:hint="eastAsia"/>
          <w:b/>
          <w:bCs w:val="0"/>
          <w:sz w:val="24"/>
          <w:szCs w:val="24"/>
        </w:rPr>
        <w:t xml:space="preserve">五、权利义务  </w:t>
      </w:r>
      <w:bookmarkEnd w:id="3"/>
      <w:r>
        <w:rPr>
          <w:rFonts w:hint="eastAsia"/>
          <w:bCs/>
          <w:sz w:val="24"/>
          <w:szCs w:val="24"/>
        </w:rPr>
        <w:t xml:space="preserve">  </w:t>
      </w:r>
    </w:p>
    <w:p w14:paraId="4E4534A7">
      <w:pPr>
        <w:spacing w:line="360" w:lineRule="auto"/>
        <w:rPr>
          <w:bCs/>
          <w:sz w:val="24"/>
          <w:szCs w:val="24"/>
        </w:rPr>
      </w:pPr>
      <w:r>
        <w:rPr>
          <w:rFonts w:hint="eastAsia"/>
          <w:bCs/>
          <w:sz w:val="24"/>
          <w:szCs w:val="24"/>
        </w:rPr>
        <w:t>5.1甲方权利义务</w:t>
      </w:r>
    </w:p>
    <w:p w14:paraId="48BA3267">
      <w:pPr>
        <w:spacing w:line="360" w:lineRule="auto"/>
        <w:rPr>
          <w:bCs/>
          <w:sz w:val="24"/>
          <w:szCs w:val="24"/>
        </w:rPr>
      </w:pPr>
      <w:r>
        <w:rPr>
          <w:rFonts w:hint="eastAsia"/>
          <w:bCs/>
          <w:sz w:val="24"/>
          <w:szCs w:val="24"/>
        </w:rPr>
        <w:t>5.1.1甲方应向乙方及时提供有关资料、数据并履行其他有关的协调工作。甲方应配合乙方完成民意调查等数据收集工作。</w:t>
      </w:r>
    </w:p>
    <w:p w14:paraId="55B99080">
      <w:pPr>
        <w:spacing w:line="360" w:lineRule="auto"/>
        <w:rPr>
          <w:bCs/>
          <w:sz w:val="24"/>
          <w:szCs w:val="24"/>
        </w:rPr>
      </w:pPr>
      <w:r>
        <w:rPr>
          <w:rFonts w:hint="eastAsia"/>
          <w:bCs/>
          <w:sz w:val="24"/>
          <w:szCs w:val="24"/>
        </w:rPr>
        <w:t>5.1.2在合同履行期限内，甲方有权了解乙方的履行义务情况并监督乙方工作实施。如发现与协议要求不符，有权向乙方提出置疑并提出解决问题的意见，甲方认为乙方不能胜任工作的，有权单方解除合同。</w:t>
      </w:r>
    </w:p>
    <w:p w14:paraId="03927DEE">
      <w:pPr>
        <w:spacing w:line="360" w:lineRule="auto"/>
        <w:rPr>
          <w:bCs/>
          <w:sz w:val="24"/>
          <w:szCs w:val="24"/>
        </w:rPr>
      </w:pPr>
      <w:r>
        <w:rPr>
          <w:rFonts w:hint="eastAsia"/>
          <w:bCs/>
          <w:sz w:val="24"/>
          <w:szCs w:val="24"/>
        </w:rPr>
        <w:t>5.1.3甲方应当按照合同约定的方式向乙方支付合同价款。对于乙方应承担的费用、损失及违约金等，或甲方先行垫付了相关费用，或承担了其他责任的，甲方有权在其合同款项内直接扣除，不足抵扣的甲方有权另行追偿。本合同所指甲方损失包括但不限于：实际损失、预期利益、律师费、鉴定评估费、交通费、公证费、差旅费、拍卖费、为保全违约方财产而向第三人支付的费用等。</w:t>
      </w:r>
    </w:p>
    <w:p w14:paraId="50F9106B">
      <w:pPr>
        <w:spacing w:line="360" w:lineRule="auto"/>
        <w:rPr>
          <w:bCs/>
          <w:sz w:val="24"/>
          <w:szCs w:val="24"/>
        </w:rPr>
      </w:pPr>
      <w:r>
        <w:rPr>
          <w:rFonts w:hint="eastAsia"/>
          <w:bCs/>
          <w:sz w:val="24"/>
          <w:szCs w:val="24"/>
        </w:rPr>
        <w:t xml:space="preserve">5.2乙方权利义务 </w:t>
      </w:r>
    </w:p>
    <w:p w14:paraId="30532078">
      <w:pPr>
        <w:spacing w:line="360" w:lineRule="auto"/>
        <w:rPr>
          <w:bCs/>
          <w:sz w:val="24"/>
          <w:szCs w:val="24"/>
        </w:rPr>
      </w:pPr>
      <w:r>
        <w:rPr>
          <w:rFonts w:hint="eastAsia"/>
          <w:bCs/>
          <w:sz w:val="24"/>
          <w:szCs w:val="24"/>
        </w:rPr>
        <w:t>5.2.1乙方应按照国家规定或协议约定的标准、规范和技术条例进行项目的报告编制工作，并按规定的时间、内容和份数交付报告，并对提交成果的质量负责。</w:t>
      </w:r>
    </w:p>
    <w:p w14:paraId="5970D19C">
      <w:pPr>
        <w:spacing w:line="360" w:lineRule="auto"/>
        <w:rPr>
          <w:bCs/>
          <w:sz w:val="24"/>
          <w:szCs w:val="24"/>
        </w:rPr>
      </w:pPr>
      <w:r>
        <w:rPr>
          <w:rFonts w:hint="eastAsia"/>
          <w:bCs/>
          <w:sz w:val="24"/>
          <w:szCs w:val="24"/>
        </w:rPr>
        <w:t>5.2.2乙方对报告文件中出现的遗漏和错误等情况负有免费修改和补充的义务，直至达到甲方审核要求及相关主管部门审批要求。</w:t>
      </w:r>
    </w:p>
    <w:p w14:paraId="114A9586">
      <w:pPr>
        <w:spacing w:line="360" w:lineRule="auto"/>
        <w:rPr>
          <w:bCs/>
          <w:sz w:val="24"/>
          <w:szCs w:val="24"/>
        </w:rPr>
      </w:pPr>
      <w:r>
        <w:rPr>
          <w:rFonts w:hint="eastAsia"/>
          <w:bCs/>
          <w:sz w:val="24"/>
          <w:szCs w:val="24"/>
        </w:rPr>
        <w:t>5.2.3乙方应按规定参加有关上级的审查，并根据审查结论对不超出原定范围的内容做必要的调整和补充。</w:t>
      </w:r>
    </w:p>
    <w:p w14:paraId="04C4E1C3">
      <w:pPr>
        <w:spacing w:line="360" w:lineRule="auto"/>
        <w:rPr>
          <w:bCs/>
          <w:sz w:val="24"/>
          <w:szCs w:val="24"/>
        </w:rPr>
      </w:pPr>
      <w:r>
        <w:rPr>
          <w:rFonts w:hint="eastAsia"/>
          <w:bCs/>
          <w:sz w:val="24"/>
          <w:szCs w:val="24"/>
        </w:rPr>
        <w:t>5.2.4甲方有权对乙方工作成果提出建议，乙方应积极采取甲方建议并进行相应的修改、完善。因项目需要公示的文件及材料必须经甲方审核同意后方可公示。</w:t>
      </w:r>
    </w:p>
    <w:p w14:paraId="0B1663AF">
      <w:pPr>
        <w:spacing w:line="360" w:lineRule="auto"/>
        <w:rPr>
          <w:bCs/>
          <w:sz w:val="24"/>
          <w:szCs w:val="24"/>
        </w:rPr>
      </w:pPr>
      <w:r>
        <w:rPr>
          <w:rFonts w:hint="eastAsia"/>
          <w:bCs/>
          <w:sz w:val="24"/>
          <w:szCs w:val="24"/>
        </w:rPr>
        <w:t>5.2.5乙方在履行合同过程中应自行注意安全，若发生任何财产损失或人身损害事故（包括乙方自身损失、损害或对第三人、甲方及甲方工作人员造成的损失、损害），均由乙方自行负责。</w:t>
      </w:r>
    </w:p>
    <w:p w14:paraId="32317C8B">
      <w:pPr>
        <w:spacing w:line="360" w:lineRule="auto"/>
        <w:rPr>
          <w:bCs/>
          <w:sz w:val="24"/>
          <w:szCs w:val="24"/>
        </w:rPr>
      </w:pPr>
      <w:r>
        <w:rPr>
          <w:rFonts w:hint="eastAsia"/>
          <w:bCs/>
          <w:sz w:val="24"/>
          <w:szCs w:val="24"/>
        </w:rPr>
        <w:t>5.2.6乙方应确保提交的工作成果不侵犯任何第三方的合法权益（包括但不限于知识产权在内），并确保甲方免受任何第三方的要求或索赔。否则，由乙方承担全部法律责任及经济损失。</w:t>
      </w:r>
    </w:p>
    <w:p w14:paraId="16807B91">
      <w:pPr>
        <w:spacing w:line="360" w:lineRule="auto"/>
        <w:rPr>
          <w:bCs/>
          <w:sz w:val="24"/>
          <w:szCs w:val="24"/>
        </w:rPr>
      </w:pPr>
      <w:r>
        <w:rPr>
          <w:rFonts w:hint="eastAsia"/>
          <w:bCs/>
          <w:sz w:val="24"/>
          <w:szCs w:val="24"/>
        </w:rPr>
        <w:t>5.2.7乙方在履行协议的过程中，不得将服务项目委托给第三人，应按照本协议如实报告项目进展情况，按时、按标准完成项目任务。若因乙方原因使该项目实施过程中出现社会、法律问题，则乙方承担一切责任，费用由乙方承担，甲方因特殊原因垫付相关费用的，有权向乙方追偿。</w:t>
      </w:r>
    </w:p>
    <w:p w14:paraId="33B2D57E">
      <w:pPr>
        <w:spacing w:line="360" w:lineRule="auto"/>
        <w:rPr>
          <w:b/>
          <w:sz w:val="24"/>
          <w:szCs w:val="24"/>
        </w:rPr>
      </w:pPr>
    </w:p>
    <w:p w14:paraId="6E71256F">
      <w:pPr>
        <w:spacing w:line="360" w:lineRule="auto"/>
        <w:rPr>
          <w:b/>
          <w:sz w:val="24"/>
          <w:szCs w:val="24"/>
        </w:rPr>
      </w:pPr>
      <w:r>
        <w:rPr>
          <w:rFonts w:hint="eastAsia"/>
          <w:b/>
          <w:sz w:val="24"/>
          <w:szCs w:val="24"/>
        </w:rPr>
        <w:t>六、保密协议</w:t>
      </w:r>
    </w:p>
    <w:p w14:paraId="43771E1A">
      <w:pPr>
        <w:spacing w:line="360" w:lineRule="auto"/>
        <w:rPr>
          <w:bCs/>
          <w:sz w:val="24"/>
          <w:szCs w:val="24"/>
        </w:rPr>
      </w:pPr>
      <w:r>
        <w:rPr>
          <w:rFonts w:hint="eastAsia"/>
          <w:bCs/>
          <w:sz w:val="24"/>
          <w:szCs w:val="24"/>
        </w:rPr>
        <w:t>6.1签订合同时，需同时签订《保密协议》。</w:t>
      </w:r>
    </w:p>
    <w:p w14:paraId="6D3D22AE">
      <w:pPr>
        <w:spacing w:line="360" w:lineRule="auto"/>
        <w:rPr>
          <w:bCs/>
          <w:sz w:val="24"/>
          <w:szCs w:val="24"/>
        </w:rPr>
      </w:pPr>
      <w:r>
        <w:rPr>
          <w:rFonts w:hint="eastAsia"/>
          <w:bCs/>
          <w:sz w:val="24"/>
          <w:szCs w:val="24"/>
        </w:rPr>
        <w:t>6.2乙方对甲方交付的基础文件资料及乙方因该项目需要所收集的文件资料（包括但不限于图纸，数据、文件、影像等有关资料）负有妥善保管义务，不得丢失或损毁。同时应尽保密义务，非经甲方书面同意不得擅自以复印、拍照、拷贝、摘抄等任何方式将上述资料进行公开或泄露给任何第三人。若有违反，给甲方造成的全部损失由乙方承担。</w:t>
      </w:r>
    </w:p>
    <w:p w14:paraId="6F737B67">
      <w:pPr>
        <w:spacing w:line="360" w:lineRule="auto"/>
        <w:rPr>
          <w:bCs/>
          <w:sz w:val="24"/>
          <w:szCs w:val="24"/>
        </w:rPr>
      </w:pPr>
      <w:r>
        <w:rPr>
          <w:rFonts w:hint="eastAsia"/>
          <w:bCs/>
          <w:sz w:val="24"/>
          <w:szCs w:val="24"/>
        </w:rPr>
        <w:t>6.3乙方的上述保密义务不因本合同的解除、终止而解除。</w:t>
      </w:r>
    </w:p>
    <w:p w14:paraId="1D5E67BB">
      <w:pPr>
        <w:spacing w:line="360" w:lineRule="auto"/>
        <w:rPr>
          <w:b/>
          <w:sz w:val="24"/>
          <w:szCs w:val="24"/>
        </w:rPr>
      </w:pPr>
    </w:p>
    <w:p w14:paraId="2C6C5076">
      <w:pPr>
        <w:spacing w:line="360" w:lineRule="auto"/>
        <w:rPr>
          <w:b/>
          <w:sz w:val="24"/>
          <w:szCs w:val="24"/>
        </w:rPr>
      </w:pPr>
      <w:r>
        <w:rPr>
          <w:rFonts w:hint="eastAsia"/>
          <w:b/>
          <w:sz w:val="24"/>
          <w:szCs w:val="24"/>
        </w:rPr>
        <w:t>七、其它要求</w:t>
      </w:r>
    </w:p>
    <w:p w14:paraId="178CEE8D">
      <w:pPr>
        <w:spacing w:line="360" w:lineRule="auto"/>
        <w:rPr>
          <w:sz w:val="24"/>
          <w:szCs w:val="24"/>
        </w:rPr>
      </w:pPr>
      <w:r>
        <w:rPr>
          <w:rFonts w:hint="eastAsia"/>
          <w:sz w:val="24"/>
          <w:szCs w:val="24"/>
        </w:rPr>
        <w:t>7.1本项目所用材料、设备均由承包方自行准备。</w:t>
      </w:r>
    </w:p>
    <w:p w14:paraId="7EECADAD">
      <w:pPr>
        <w:spacing w:line="360" w:lineRule="auto"/>
        <w:rPr>
          <w:sz w:val="24"/>
          <w:szCs w:val="24"/>
        </w:rPr>
      </w:pPr>
      <w:r>
        <w:rPr>
          <w:rFonts w:hint="eastAsia"/>
          <w:sz w:val="24"/>
          <w:szCs w:val="24"/>
        </w:rPr>
        <w:t>7.2承包方对所有涉及报告的优化，昆纤公司理解为完成项目合同内容所采用的措施项目，不另计算费用。</w:t>
      </w:r>
    </w:p>
    <w:p w14:paraId="4540D6E7">
      <w:pPr>
        <w:spacing w:line="360" w:lineRule="auto"/>
        <w:rPr>
          <w:sz w:val="24"/>
          <w:szCs w:val="24"/>
        </w:rPr>
      </w:pPr>
      <w:r>
        <w:rPr>
          <w:rFonts w:hint="eastAsia"/>
          <w:sz w:val="24"/>
          <w:szCs w:val="24"/>
        </w:rPr>
        <w:t>7.3本项目不允许转包、分包。本项目不划分标段。</w:t>
      </w:r>
    </w:p>
    <w:p w14:paraId="010126BC">
      <w:pPr>
        <w:spacing w:line="360" w:lineRule="auto"/>
        <w:rPr>
          <w:sz w:val="24"/>
          <w:szCs w:val="24"/>
        </w:rPr>
      </w:pPr>
      <w:r>
        <w:rPr>
          <w:rFonts w:hint="eastAsia"/>
          <w:sz w:val="24"/>
          <w:szCs w:val="24"/>
        </w:rPr>
        <w:t>7.4按照昆纤公司要求开具发票。</w:t>
      </w:r>
    </w:p>
    <w:p w14:paraId="06EC26F7">
      <w:pPr>
        <w:pStyle w:val="2"/>
        <w:rPr>
          <w:sz w:val="24"/>
          <w:szCs w:val="24"/>
        </w:rPr>
      </w:pPr>
    </w:p>
    <w:p w14:paraId="79A9EF5B">
      <w:pPr>
        <w:spacing w:line="360" w:lineRule="auto"/>
        <w:rPr>
          <w:b/>
          <w:sz w:val="24"/>
          <w:szCs w:val="24"/>
        </w:rPr>
      </w:pPr>
      <w:r>
        <w:rPr>
          <w:rFonts w:hint="eastAsia"/>
          <w:b/>
          <w:sz w:val="24"/>
          <w:szCs w:val="24"/>
        </w:rPr>
        <w:t>八、违约责任</w:t>
      </w:r>
    </w:p>
    <w:p w14:paraId="41AA7965">
      <w:pPr>
        <w:spacing w:line="360" w:lineRule="auto"/>
        <w:ind w:firstLine="480" w:firstLineChars="200"/>
        <w:rPr>
          <w:bCs/>
          <w:sz w:val="24"/>
          <w:szCs w:val="24"/>
        </w:rPr>
      </w:pPr>
      <w:r>
        <w:rPr>
          <w:rFonts w:hint="eastAsia"/>
          <w:bCs/>
          <w:sz w:val="24"/>
          <w:szCs w:val="24"/>
        </w:rPr>
        <w:t>经协商确定，甲乙双方按以下约定承担违约责任：</w:t>
      </w:r>
    </w:p>
    <w:p w14:paraId="4223CB2B">
      <w:pPr>
        <w:spacing w:line="360" w:lineRule="auto"/>
        <w:rPr>
          <w:bCs/>
          <w:sz w:val="24"/>
          <w:szCs w:val="24"/>
        </w:rPr>
      </w:pPr>
      <w:r>
        <w:rPr>
          <w:rFonts w:hint="eastAsia"/>
          <w:bCs/>
          <w:sz w:val="24"/>
          <w:szCs w:val="24"/>
        </w:rPr>
        <w:t>8.1若乙方在合同生效后，未经甲方同意，乙方无权单方解除合同，如擅自解除合同的，甲方无需支付任何费用，乙方应返还甲方已付款，并且乙方应向甲方支付合同总价款20%的违约金。</w:t>
      </w:r>
    </w:p>
    <w:p w14:paraId="40870E44">
      <w:pPr>
        <w:spacing w:line="360" w:lineRule="auto"/>
        <w:rPr>
          <w:bCs/>
          <w:sz w:val="24"/>
          <w:szCs w:val="24"/>
        </w:rPr>
      </w:pPr>
      <w:r>
        <w:rPr>
          <w:rFonts w:hint="eastAsia"/>
          <w:bCs/>
          <w:sz w:val="24"/>
          <w:szCs w:val="24"/>
        </w:rPr>
        <w:t>8.2乙方逾期提交工作成果的，每逾期一日，按照合同总价款的1%向甲方支付违约金；逾期七日以上的，甲方有权解除本合同，合同解除后甲方无需支付任何费用，乙方应返还甲方已付款。</w:t>
      </w:r>
    </w:p>
    <w:p w14:paraId="101D59EC">
      <w:pPr>
        <w:spacing w:line="360" w:lineRule="auto"/>
        <w:rPr>
          <w:bCs/>
          <w:sz w:val="24"/>
          <w:szCs w:val="24"/>
        </w:rPr>
      </w:pPr>
      <w:r>
        <w:rPr>
          <w:rFonts w:hint="eastAsia"/>
          <w:bCs/>
          <w:sz w:val="24"/>
          <w:szCs w:val="24"/>
        </w:rPr>
        <w:t>8.3如乙方提交的工作成果不能通过相关主管部门审批及备案验收的，甲方有权解除合同，要求乙方承担合同总价款10%的违约责任并不予支付任何服务费用；如甲方选择继续履行合同的，乙方应负责无偿修改、补充直至通过相关主管部门审批验收为止。</w:t>
      </w:r>
    </w:p>
    <w:p w14:paraId="792DD5AE">
      <w:pPr>
        <w:spacing w:line="360" w:lineRule="auto"/>
        <w:rPr>
          <w:bCs/>
          <w:sz w:val="24"/>
          <w:szCs w:val="24"/>
        </w:rPr>
      </w:pPr>
      <w:r>
        <w:rPr>
          <w:rFonts w:hint="eastAsia"/>
          <w:bCs/>
          <w:sz w:val="24"/>
          <w:szCs w:val="24"/>
        </w:rPr>
        <w:t>8.4如乙方违反本合同约定的保密义务的，应向甲方支付合同金额20%的违约金，并追究法律责任。</w:t>
      </w:r>
    </w:p>
    <w:p w14:paraId="028D767D">
      <w:pPr>
        <w:spacing w:line="360" w:lineRule="auto"/>
        <w:rPr>
          <w:bCs/>
          <w:sz w:val="24"/>
          <w:szCs w:val="24"/>
        </w:rPr>
      </w:pPr>
      <w:r>
        <w:rPr>
          <w:rFonts w:hint="eastAsia"/>
          <w:bCs/>
          <w:sz w:val="24"/>
          <w:szCs w:val="24"/>
        </w:rPr>
        <w:t>8.5如乙方拒绝采纳甲方对工作成果所提出的建议的，或如乙方提交的工作成果不能满足相关主管部门的审批要求、乙方拒绝进行修改、补充的，或修改、补充后仍无法满足相关主管部门审批要求的，甲方均有权解除合同。</w:t>
      </w:r>
    </w:p>
    <w:p w14:paraId="413F2997">
      <w:pPr>
        <w:spacing w:line="360" w:lineRule="auto"/>
        <w:rPr>
          <w:bCs/>
          <w:sz w:val="24"/>
          <w:szCs w:val="24"/>
        </w:rPr>
      </w:pPr>
      <w:r>
        <w:rPr>
          <w:rFonts w:hint="eastAsia"/>
          <w:bCs/>
          <w:sz w:val="24"/>
          <w:szCs w:val="24"/>
        </w:rPr>
        <w:t>8.6如因乙方出现本合同约定的违约情形导致甲方提前解除合同的，甲方无需支付任何费用，乙方应返还甲方已付款。</w:t>
      </w:r>
    </w:p>
    <w:p w14:paraId="4B399A9E">
      <w:pPr>
        <w:spacing w:line="360" w:lineRule="auto"/>
        <w:rPr>
          <w:bCs/>
          <w:sz w:val="24"/>
          <w:szCs w:val="24"/>
        </w:rPr>
      </w:pPr>
    </w:p>
    <w:p w14:paraId="636BD40D">
      <w:pPr>
        <w:spacing w:line="360" w:lineRule="auto"/>
        <w:rPr>
          <w:b/>
          <w:sz w:val="24"/>
          <w:szCs w:val="24"/>
        </w:rPr>
      </w:pPr>
      <w:r>
        <w:rPr>
          <w:rFonts w:hint="eastAsia"/>
          <w:b/>
          <w:sz w:val="24"/>
          <w:szCs w:val="24"/>
        </w:rPr>
        <w:t>九、技术成果的知识产权</w:t>
      </w:r>
    </w:p>
    <w:p w14:paraId="4D7A4FFF">
      <w:pPr>
        <w:spacing w:line="360" w:lineRule="auto"/>
        <w:rPr>
          <w:bCs/>
          <w:sz w:val="24"/>
          <w:szCs w:val="24"/>
        </w:rPr>
      </w:pPr>
      <w:r>
        <w:rPr>
          <w:rFonts w:hint="eastAsia"/>
          <w:bCs/>
          <w:sz w:val="24"/>
          <w:szCs w:val="24"/>
        </w:rPr>
        <w:t>9.1本合同下获得的所有技术成果的版权等知识产权归甲方所有，未经甲方书面同意乙方不得将本技术成果泄露或转让给任何第三方。</w:t>
      </w:r>
    </w:p>
    <w:p w14:paraId="19542D71">
      <w:pPr>
        <w:spacing w:line="360" w:lineRule="auto"/>
        <w:rPr>
          <w:bCs/>
          <w:sz w:val="24"/>
          <w:szCs w:val="24"/>
        </w:rPr>
      </w:pPr>
      <w:r>
        <w:rPr>
          <w:rFonts w:hint="eastAsia"/>
          <w:bCs/>
          <w:sz w:val="24"/>
          <w:szCs w:val="24"/>
        </w:rPr>
        <w:t>9.2乙方为履行本协议所采用的字体、影像、录像、标语、走访方式、报告内容等一切措施，涉及侵犯其他人知识产权的，相关侵权责任由乙方自行承担，甲方垫付相关费用的，有权向乙方追偿。</w:t>
      </w:r>
    </w:p>
    <w:p w14:paraId="7FEF413C">
      <w:pPr>
        <w:spacing w:line="360" w:lineRule="auto"/>
        <w:rPr>
          <w:bCs/>
          <w:color w:val="0000FF"/>
          <w:sz w:val="24"/>
          <w:szCs w:val="24"/>
        </w:rPr>
      </w:pPr>
    </w:p>
    <w:p w14:paraId="5D5ED114">
      <w:pPr>
        <w:spacing w:line="360" w:lineRule="auto"/>
        <w:jc w:val="right"/>
        <w:rPr>
          <w:rFonts w:hint="eastAsia"/>
          <w:sz w:val="24"/>
          <w:szCs w:val="24"/>
        </w:rPr>
      </w:pPr>
    </w:p>
    <w:p w14:paraId="1462EDF5">
      <w:pPr>
        <w:spacing w:line="360" w:lineRule="auto"/>
        <w:jc w:val="center"/>
        <w:rPr>
          <w:rFonts w:hint="default" w:eastAsiaTheme="minorEastAsia"/>
          <w:sz w:val="24"/>
          <w:szCs w:val="24"/>
          <w:lang w:val="en-US" w:eastAsia="zh-CN"/>
        </w:rPr>
      </w:pPr>
      <w:r>
        <w:rPr>
          <w:rFonts w:hint="eastAsia"/>
          <w:sz w:val="24"/>
          <w:szCs w:val="24"/>
          <w:lang w:val="en-US" w:eastAsia="zh-CN"/>
        </w:rPr>
        <w:t xml:space="preserve">                                                 </w:t>
      </w:r>
    </w:p>
    <w:p w14:paraId="2C65F746">
      <w:pPr>
        <w:spacing w:line="360" w:lineRule="auto"/>
        <w:jc w:val="right"/>
        <w:rPr>
          <w:rFonts w:hint="eastAsia"/>
          <w:sz w:val="24"/>
          <w:szCs w:val="24"/>
          <w:lang w:val="en-US" w:eastAsia="zh-CN"/>
        </w:rPr>
      </w:pPr>
      <w:r>
        <w:rPr>
          <w:rFonts w:hint="eastAsia"/>
          <w:sz w:val="24"/>
          <w:szCs w:val="24"/>
          <w:lang w:val="en-US" w:eastAsia="zh-CN"/>
        </w:rPr>
        <w:t xml:space="preserve">  </w:t>
      </w:r>
    </w:p>
    <w:p w14:paraId="400A3B44">
      <w:pPr>
        <w:spacing w:line="360" w:lineRule="auto"/>
        <w:jc w:val="center"/>
        <w:rPr>
          <w:sz w:val="24"/>
          <w:szCs w:val="24"/>
        </w:rPr>
      </w:pPr>
      <w:r>
        <w:rPr>
          <w:rFonts w:hint="eastAsia"/>
          <w:sz w:val="24"/>
          <w:szCs w:val="24"/>
          <w:lang w:val="en-US" w:eastAsia="zh-CN"/>
        </w:rPr>
        <w:t xml:space="preserve">                                                 </w:t>
      </w:r>
      <w:r>
        <w:rPr>
          <w:rFonts w:hint="eastAsia"/>
          <w:sz w:val="24"/>
          <w:szCs w:val="24"/>
        </w:rPr>
        <w:t>2</w:t>
      </w:r>
      <w:r>
        <w:rPr>
          <w:sz w:val="24"/>
          <w:szCs w:val="24"/>
        </w:rPr>
        <w:t>025</w:t>
      </w:r>
      <w:r>
        <w:rPr>
          <w:rFonts w:hint="eastAsia"/>
          <w:sz w:val="24"/>
          <w:szCs w:val="24"/>
        </w:rPr>
        <w:t>年10月9日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F4BF3A"/>
    <w:multiLevelType w:val="singleLevel"/>
    <w:tmpl w:val="2AF4BF3A"/>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FD"/>
    <w:rsid w:val="00000D69"/>
    <w:rsid w:val="00001A89"/>
    <w:rsid w:val="00006FB0"/>
    <w:rsid w:val="00026634"/>
    <w:rsid w:val="00030F42"/>
    <w:rsid w:val="00036E40"/>
    <w:rsid w:val="00040CF8"/>
    <w:rsid w:val="00052244"/>
    <w:rsid w:val="00095CF7"/>
    <w:rsid w:val="000B2E01"/>
    <w:rsid w:val="000C02C5"/>
    <w:rsid w:val="000D02EF"/>
    <w:rsid w:val="000F0EE9"/>
    <w:rsid w:val="000F10D7"/>
    <w:rsid w:val="000F60A6"/>
    <w:rsid w:val="0011241B"/>
    <w:rsid w:val="00114683"/>
    <w:rsid w:val="001168E7"/>
    <w:rsid w:val="001246E5"/>
    <w:rsid w:val="00127C54"/>
    <w:rsid w:val="00132011"/>
    <w:rsid w:val="0014139C"/>
    <w:rsid w:val="00144032"/>
    <w:rsid w:val="001459CF"/>
    <w:rsid w:val="0015338F"/>
    <w:rsid w:val="001535EE"/>
    <w:rsid w:val="00154D3D"/>
    <w:rsid w:val="001630FD"/>
    <w:rsid w:val="001978C2"/>
    <w:rsid w:val="001A10F5"/>
    <w:rsid w:val="001A1DBB"/>
    <w:rsid w:val="001B4BA7"/>
    <w:rsid w:val="001D137C"/>
    <w:rsid w:val="001D4E31"/>
    <w:rsid w:val="001E4884"/>
    <w:rsid w:val="001E664F"/>
    <w:rsid w:val="001F4E5C"/>
    <w:rsid w:val="002010D4"/>
    <w:rsid w:val="002136CA"/>
    <w:rsid w:val="00220376"/>
    <w:rsid w:val="00251F75"/>
    <w:rsid w:val="00260037"/>
    <w:rsid w:val="00270918"/>
    <w:rsid w:val="00271B37"/>
    <w:rsid w:val="002740C8"/>
    <w:rsid w:val="0028286A"/>
    <w:rsid w:val="002918AE"/>
    <w:rsid w:val="00293E18"/>
    <w:rsid w:val="002969E1"/>
    <w:rsid w:val="002A5E8D"/>
    <w:rsid w:val="002B15EE"/>
    <w:rsid w:val="002B3A99"/>
    <w:rsid w:val="002C6F26"/>
    <w:rsid w:val="002D0F45"/>
    <w:rsid w:val="002D22C6"/>
    <w:rsid w:val="002E4C07"/>
    <w:rsid w:val="002E64B7"/>
    <w:rsid w:val="002E78BB"/>
    <w:rsid w:val="002F1BE8"/>
    <w:rsid w:val="002F7C22"/>
    <w:rsid w:val="003041D1"/>
    <w:rsid w:val="00310513"/>
    <w:rsid w:val="00317939"/>
    <w:rsid w:val="0034575D"/>
    <w:rsid w:val="003504CB"/>
    <w:rsid w:val="003533A9"/>
    <w:rsid w:val="00380301"/>
    <w:rsid w:val="00380C2E"/>
    <w:rsid w:val="0038715D"/>
    <w:rsid w:val="003A7A0A"/>
    <w:rsid w:val="003C0EB9"/>
    <w:rsid w:val="003C6093"/>
    <w:rsid w:val="003D1A13"/>
    <w:rsid w:val="003D3F5F"/>
    <w:rsid w:val="003D65BE"/>
    <w:rsid w:val="003F2142"/>
    <w:rsid w:val="003F2F3C"/>
    <w:rsid w:val="00400464"/>
    <w:rsid w:val="0040293B"/>
    <w:rsid w:val="00414B04"/>
    <w:rsid w:val="0041764D"/>
    <w:rsid w:val="0042164C"/>
    <w:rsid w:val="00426BF8"/>
    <w:rsid w:val="00430A30"/>
    <w:rsid w:val="004357B8"/>
    <w:rsid w:val="00437B23"/>
    <w:rsid w:val="004417CF"/>
    <w:rsid w:val="0044664B"/>
    <w:rsid w:val="00447127"/>
    <w:rsid w:val="00450578"/>
    <w:rsid w:val="00462238"/>
    <w:rsid w:val="00487194"/>
    <w:rsid w:val="004A442C"/>
    <w:rsid w:val="004C0A84"/>
    <w:rsid w:val="004D045E"/>
    <w:rsid w:val="004D0930"/>
    <w:rsid w:val="004D3243"/>
    <w:rsid w:val="004E0863"/>
    <w:rsid w:val="004E3E6A"/>
    <w:rsid w:val="004E4E56"/>
    <w:rsid w:val="004F2A80"/>
    <w:rsid w:val="0051665F"/>
    <w:rsid w:val="005418FD"/>
    <w:rsid w:val="00552B13"/>
    <w:rsid w:val="0057144E"/>
    <w:rsid w:val="0057469F"/>
    <w:rsid w:val="00576065"/>
    <w:rsid w:val="00595112"/>
    <w:rsid w:val="005A5389"/>
    <w:rsid w:val="005B2530"/>
    <w:rsid w:val="005B7C25"/>
    <w:rsid w:val="005D5C36"/>
    <w:rsid w:val="00601E1F"/>
    <w:rsid w:val="006065C4"/>
    <w:rsid w:val="00613126"/>
    <w:rsid w:val="0064699A"/>
    <w:rsid w:val="00665916"/>
    <w:rsid w:val="006859C7"/>
    <w:rsid w:val="00685BA1"/>
    <w:rsid w:val="006A46F3"/>
    <w:rsid w:val="006B2557"/>
    <w:rsid w:val="006C12FA"/>
    <w:rsid w:val="006D1BE0"/>
    <w:rsid w:val="006D26FD"/>
    <w:rsid w:val="006F577B"/>
    <w:rsid w:val="007026E3"/>
    <w:rsid w:val="00717F9D"/>
    <w:rsid w:val="00721C7D"/>
    <w:rsid w:val="00734BDA"/>
    <w:rsid w:val="00745612"/>
    <w:rsid w:val="00746CF0"/>
    <w:rsid w:val="00775AD8"/>
    <w:rsid w:val="00776D25"/>
    <w:rsid w:val="007912CE"/>
    <w:rsid w:val="00792E04"/>
    <w:rsid w:val="0079438B"/>
    <w:rsid w:val="00796C3E"/>
    <w:rsid w:val="007976ED"/>
    <w:rsid w:val="007977A2"/>
    <w:rsid w:val="007A3489"/>
    <w:rsid w:val="007C0450"/>
    <w:rsid w:val="007D0ED1"/>
    <w:rsid w:val="008032C3"/>
    <w:rsid w:val="00826425"/>
    <w:rsid w:val="008409EC"/>
    <w:rsid w:val="00843FBB"/>
    <w:rsid w:val="00845FF1"/>
    <w:rsid w:val="00852AB5"/>
    <w:rsid w:val="00863CD4"/>
    <w:rsid w:val="008909E4"/>
    <w:rsid w:val="008933C1"/>
    <w:rsid w:val="00893951"/>
    <w:rsid w:val="008C6EC2"/>
    <w:rsid w:val="008D6BB8"/>
    <w:rsid w:val="008D71F5"/>
    <w:rsid w:val="008E5E8E"/>
    <w:rsid w:val="008F0471"/>
    <w:rsid w:val="0090483C"/>
    <w:rsid w:val="00980B2C"/>
    <w:rsid w:val="009C0B82"/>
    <w:rsid w:val="00A06711"/>
    <w:rsid w:val="00A52FE9"/>
    <w:rsid w:val="00A5380B"/>
    <w:rsid w:val="00A555A7"/>
    <w:rsid w:val="00A60CB6"/>
    <w:rsid w:val="00A65F38"/>
    <w:rsid w:val="00A71318"/>
    <w:rsid w:val="00A72D50"/>
    <w:rsid w:val="00A90BBD"/>
    <w:rsid w:val="00AA2DD8"/>
    <w:rsid w:val="00AA435C"/>
    <w:rsid w:val="00AB27B1"/>
    <w:rsid w:val="00AB577B"/>
    <w:rsid w:val="00AB67E6"/>
    <w:rsid w:val="00AC6379"/>
    <w:rsid w:val="00AE00D1"/>
    <w:rsid w:val="00AE130E"/>
    <w:rsid w:val="00AE5241"/>
    <w:rsid w:val="00AF6511"/>
    <w:rsid w:val="00B04C6B"/>
    <w:rsid w:val="00B07CFF"/>
    <w:rsid w:val="00B33EB0"/>
    <w:rsid w:val="00B34EE8"/>
    <w:rsid w:val="00B43315"/>
    <w:rsid w:val="00B61D6F"/>
    <w:rsid w:val="00B63A22"/>
    <w:rsid w:val="00B715AF"/>
    <w:rsid w:val="00B866C3"/>
    <w:rsid w:val="00B96198"/>
    <w:rsid w:val="00BA561C"/>
    <w:rsid w:val="00BA76B6"/>
    <w:rsid w:val="00BB50AE"/>
    <w:rsid w:val="00BB5F6E"/>
    <w:rsid w:val="00BF5974"/>
    <w:rsid w:val="00C054A9"/>
    <w:rsid w:val="00C13CFA"/>
    <w:rsid w:val="00C225DD"/>
    <w:rsid w:val="00C26F9D"/>
    <w:rsid w:val="00C278DA"/>
    <w:rsid w:val="00C362F9"/>
    <w:rsid w:val="00C64157"/>
    <w:rsid w:val="00C71AAF"/>
    <w:rsid w:val="00C7456E"/>
    <w:rsid w:val="00C91F47"/>
    <w:rsid w:val="00C94D0A"/>
    <w:rsid w:val="00C967CB"/>
    <w:rsid w:val="00CA4189"/>
    <w:rsid w:val="00CC6C24"/>
    <w:rsid w:val="00D01D21"/>
    <w:rsid w:val="00D03025"/>
    <w:rsid w:val="00D1413F"/>
    <w:rsid w:val="00D23FAA"/>
    <w:rsid w:val="00D33C50"/>
    <w:rsid w:val="00D47330"/>
    <w:rsid w:val="00D51724"/>
    <w:rsid w:val="00D5321A"/>
    <w:rsid w:val="00D55CFA"/>
    <w:rsid w:val="00D57287"/>
    <w:rsid w:val="00D6308E"/>
    <w:rsid w:val="00D7482F"/>
    <w:rsid w:val="00D80DF4"/>
    <w:rsid w:val="00DA20C6"/>
    <w:rsid w:val="00DB0490"/>
    <w:rsid w:val="00DB10C4"/>
    <w:rsid w:val="00DB4DDB"/>
    <w:rsid w:val="00DB6074"/>
    <w:rsid w:val="00DC3B01"/>
    <w:rsid w:val="00DC3D8E"/>
    <w:rsid w:val="00DE4353"/>
    <w:rsid w:val="00DE56F0"/>
    <w:rsid w:val="00DF0E66"/>
    <w:rsid w:val="00DF7CBA"/>
    <w:rsid w:val="00E15AF2"/>
    <w:rsid w:val="00E217A4"/>
    <w:rsid w:val="00E23875"/>
    <w:rsid w:val="00E359D6"/>
    <w:rsid w:val="00E4308B"/>
    <w:rsid w:val="00E474C2"/>
    <w:rsid w:val="00E639AF"/>
    <w:rsid w:val="00E80C58"/>
    <w:rsid w:val="00E93300"/>
    <w:rsid w:val="00EA46EF"/>
    <w:rsid w:val="00EA52D2"/>
    <w:rsid w:val="00EA699D"/>
    <w:rsid w:val="00EC3977"/>
    <w:rsid w:val="00EC5E7F"/>
    <w:rsid w:val="00ED1139"/>
    <w:rsid w:val="00ED1AB8"/>
    <w:rsid w:val="00ED20A8"/>
    <w:rsid w:val="00EE4DA8"/>
    <w:rsid w:val="00EF4C5B"/>
    <w:rsid w:val="00F06E9F"/>
    <w:rsid w:val="00F0711A"/>
    <w:rsid w:val="00F077EC"/>
    <w:rsid w:val="00F1088F"/>
    <w:rsid w:val="00F124C7"/>
    <w:rsid w:val="00F13C44"/>
    <w:rsid w:val="00F26F57"/>
    <w:rsid w:val="00F34498"/>
    <w:rsid w:val="00F461ED"/>
    <w:rsid w:val="00F52472"/>
    <w:rsid w:val="00F55E08"/>
    <w:rsid w:val="00F733BF"/>
    <w:rsid w:val="00F85D18"/>
    <w:rsid w:val="00F9033A"/>
    <w:rsid w:val="00F94447"/>
    <w:rsid w:val="00F96A98"/>
    <w:rsid w:val="00FA456B"/>
    <w:rsid w:val="00FA5925"/>
    <w:rsid w:val="00FF360C"/>
    <w:rsid w:val="011078C7"/>
    <w:rsid w:val="025F7AF4"/>
    <w:rsid w:val="02AA4C69"/>
    <w:rsid w:val="03247659"/>
    <w:rsid w:val="051C149C"/>
    <w:rsid w:val="151A020D"/>
    <w:rsid w:val="16C15D95"/>
    <w:rsid w:val="1B7E7DF7"/>
    <w:rsid w:val="209570A1"/>
    <w:rsid w:val="21FD22F9"/>
    <w:rsid w:val="24901E51"/>
    <w:rsid w:val="26F60889"/>
    <w:rsid w:val="275D540C"/>
    <w:rsid w:val="28CD2D8F"/>
    <w:rsid w:val="28EE26DD"/>
    <w:rsid w:val="29345F99"/>
    <w:rsid w:val="2A6A2ACF"/>
    <w:rsid w:val="2F7A21E2"/>
    <w:rsid w:val="37C41FA2"/>
    <w:rsid w:val="3BF85ABC"/>
    <w:rsid w:val="3D9918A0"/>
    <w:rsid w:val="444605DE"/>
    <w:rsid w:val="45DF3896"/>
    <w:rsid w:val="497A4C8A"/>
    <w:rsid w:val="4A2C2648"/>
    <w:rsid w:val="54C35DBC"/>
    <w:rsid w:val="566919DE"/>
    <w:rsid w:val="5C6C4B26"/>
    <w:rsid w:val="5E1D3074"/>
    <w:rsid w:val="61523416"/>
    <w:rsid w:val="61751B25"/>
    <w:rsid w:val="61D01DED"/>
    <w:rsid w:val="65475B54"/>
    <w:rsid w:val="66E87218"/>
    <w:rsid w:val="680802C1"/>
    <w:rsid w:val="68AA5354"/>
    <w:rsid w:val="6BC254F9"/>
    <w:rsid w:val="71240251"/>
    <w:rsid w:val="76606050"/>
    <w:rsid w:val="77AF32BD"/>
    <w:rsid w:val="78626FEB"/>
    <w:rsid w:val="78F97A5A"/>
    <w:rsid w:val="796469F0"/>
    <w:rsid w:val="7AC72FFC"/>
    <w:rsid w:val="7B071C0B"/>
    <w:rsid w:val="7C667459"/>
    <w:rsid w:val="7CAF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2"/>
    <w:basedOn w:val="1"/>
    <w:qFormat/>
    <w:uiPriority w:val="99"/>
    <w:rPr>
      <w:rFonts w:ascii="宋体"/>
      <w:sz w:val="13"/>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83614-6487-4E56-ACAC-CB84C5ADC2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5009</Words>
  <Characters>5292</Characters>
  <Lines>38</Lines>
  <Paragraphs>10</Paragraphs>
  <TotalTime>180</TotalTime>
  <ScaleCrop>false</ScaleCrop>
  <LinksUpToDate>false</LinksUpToDate>
  <CharactersWithSpaces>5297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2024-12-04T05:12:00Z</dcterms:created>
  <dc:creator>sun ling</dc:creator>
  <cp:lastModifiedBy>千惠1618</cp:lastModifiedBy>
  <cp:lastPrinted>2018-03-01T01:23:00Z</cp:lastPrinted>
  <dcterms:modified xsi:type="dcterms:W3CDTF">2025-10-10T01:15:00Z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1275BB249C7143A69AC68B4ACCD03B84_13</vt:lpwstr>
  </property>
  <property fmtid="{D5CDD505-2E9C-101B-9397-08002B2CF9AE}" pid="4" name="KSOTemplateDocerSaveRecord">
    <vt:lpwstr>eyJoZGlkIjoiMTU2OGNkN2I2MzJlNGM2YTJjZDI0OTM5YjZkNDgzNTciLCJ1c2VySWQiOiI3Njg4ODAzODYifQ==</vt:lpwstr>
  </property>
</Properties>
</file>