
<file path=[Content_Types].xml><?xml version="1.0" encoding="utf-8"?>
<Types xmlns="http://schemas.openxmlformats.org/package/2006/content-types">
  <Default Extension="xml" ContentType="application/xml"/>
  <Default Extension="doc" ContentType="application/msword"/>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2648F">
      <w:pPr>
        <w:spacing w:before="156" w:beforeLines="50" w:after="156" w:afterLines="50"/>
        <w:jc w:val="center"/>
        <w:rPr>
          <w:rFonts w:ascii="黑体" w:hAnsi="黑体" w:eastAsia="黑体" w:cs="黑体"/>
          <w:b/>
          <w:sz w:val="32"/>
          <w:szCs w:val="32"/>
        </w:rPr>
      </w:pPr>
      <w:bookmarkStart w:id="0" w:name="OLE_LINK7"/>
      <w:bookmarkStart w:id="1" w:name="OLE_LINK19"/>
      <w:bookmarkStart w:id="2" w:name="_Hlk229322375"/>
      <w:r>
        <w:rPr>
          <w:rFonts w:hint="eastAsia" w:ascii="黑体" w:hAnsi="黑体" w:eastAsia="黑体" w:cs="黑体"/>
          <w:b/>
          <w:sz w:val="32"/>
          <w:szCs w:val="32"/>
        </w:rPr>
        <w:t>危废智能化管理系统建设</w:t>
      </w:r>
      <w:bookmarkEnd w:id="0"/>
      <w:r>
        <w:rPr>
          <w:rFonts w:hint="eastAsia" w:ascii="黑体" w:hAnsi="黑体" w:eastAsia="黑体" w:cs="黑体"/>
          <w:b/>
          <w:sz w:val="32"/>
          <w:szCs w:val="32"/>
        </w:rPr>
        <w:t>采购技术文件</w:t>
      </w:r>
    </w:p>
    <w:p w14:paraId="6CE4574D">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项目概述</w:t>
      </w:r>
    </w:p>
    <w:p w14:paraId="67A03627">
      <w:pPr>
        <w:pStyle w:val="9"/>
        <w:spacing w:line="276" w:lineRule="auto"/>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昆明醋酸纤维有限公司为积极贯彻落实生态环境部最新发布《关于进一步加强危险废物环境治理 严密防控环境风险的指导意见》（环固体</w:t>
      </w:r>
      <w:r>
        <w:rPr>
          <w:rFonts w:hint="eastAsia" w:ascii="仿宋_GB2312" w:hAnsi="仿宋_GB2312" w:eastAsia="仿宋_GB2312" w:cs="仿宋_GB2312"/>
          <w:sz w:val="30"/>
          <w:szCs w:val="30"/>
          <w:lang w:eastAsia="zh-CN"/>
        </w:rPr>
        <w:t>〔2025〕10号</w:t>
      </w:r>
      <w:r>
        <w:rPr>
          <w:rFonts w:hint="eastAsia" w:ascii="仿宋_GB2312" w:hAnsi="仿宋_GB2312" w:eastAsia="仿宋_GB2312" w:cs="仿宋_GB2312"/>
          <w:sz w:val="30"/>
          <w:szCs w:val="30"/>
        </w:rPr>
        <w:t>）及云南省生态环境厅发布的《云南省生态环境厅关于做好切换使用全国危险废物全过程环境管理信息系统有关事项的通知》</w:t>
      </w:r>
      <w:r>
        <w:rPr>
          <w:rFonts w:hint="eastAsia" w:ascii="仿宋_GB2312" w:hAnsi="仿宋_GB2312" w:eastAsia="仿宋_GB2312" w:cs="仿宋_GB2312"/>
          <w:sz w:val="30"/>
          <w:szCs w:val="30"/>
          <w:lang w:eastAsia="zh-CN"/>
        </w:rPr>
        <w:t>〔2026〕482号</w:t>
      </w:r>
      <w:r>
        <w:rPr>
          <w:rFonts w:hint="eastAsia" w:ascii="仿宋_GB2312" w:hAnsi="仿宋_GB2312" w:eastAsia="仿宋_GB2312" w:cs="仿宋_GB2312"/>
          <w:sz w:val="30"/>
          <w:szCs w:val="30"/>
        </w:rPr>
        <w:t>相关要求，现计划采购危化智能化管理系统一套，实现“五即管理”“一码贯通”的要求，使公司危废管理达到最新环保政策的要求。</w:t>
      </w:r>
    </w:p>
    <w:p w14:paraId="6DEA5C55">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相关标准&amp;规范</w:t>
      </w:r>
    </w:p>
    <w:tbl>
      <w:tblPr>
        <w:tblStyle w:val="4"/>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178"/>
        <w:gridCol w:w="6344"/>
      </w:tblGrid>
      <w:tr w14:paraId="4457A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278" w:type="pct"/>
            <w:tcBorders>
              <w:top w:val="single" w:color="auto" w:sz="6" w:space="0"/>
              <w:left w:val="single" w:color="auto" w:sz="6" w:space="0"/>
              <w:bottom w:val="single" w:color="auto" w:sz="6" w:space="0"/>
              <w:right w:val="single" w:color="auto" w:sz="6" w:space="0"/>
            </w:tcBorders>
            <w:vAlign w:val="center"/>
          </w:tcPr>
          <w:p w14:paraId="5BBABF38">
            <w:pPr>
              <w:pStyle w:val="10"/>
              <w:spacing w:before="100" w:beforeAutospacing="1" w:after="100" w:afterAutospacing="1" w:line="360" w:lineRule="auto"/>
              <w:ind w:firstLine="422"/>
              <w:jc w:val="center"/>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标准号</w:t>
            </w:r>
          </w:p>
        </w:tc>
        <w:tc>
          <w:tcPr>
            <w:tcW w:w="3721" w:type="pct"/>
            <w:tcBorders>
              <w:top w:val="single" w:color="auto" w:sz="6" w:space="0"/>
              <w:left w:val="single" w:color="auto" w:sz="6" w:space="0"/>
              <w:bottom w:val="single" w:color="auto" w:sz="6" w:space="0"/>
              <w:right w:val="single" w:color="auto" w:sz="6" w:space="0"/>
            </w:tcBorders>
            <w:vAlign w:val="center"/>
          </w:tcPr>
          <w:p w14:paraId="447CDF96">
            <w:pPr>
              <w:pStyle w:val="10"/>
              <w:spacing w:before="100" w:beforeAutospacing="1" w:after="100" w:afterAutospacing="1" w:line="360" w:lineRule="auto"/>
              <w:ind w:firstLine="422"/>
              <w:jc w:val="center"/>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标准名称</w:t>
            </w:r>
          </w:p>
        </w:tc>
      </w:tr>
      <w:tr w14:paraId="5B1F7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278" w:type="pct"/>
            <w:tcBorders>
              <w:top w:val="single" w:color="auto" w:sz="6" w:space="0"/>
              <w:left w:val="single" w:color="auto" w:sz="6" w:space="0"/>
              <w:bottom w:val="single" w:color="auto" w:sz="6" w:space="0"/>
              <w:right w:val="single" w:color="auto" w:sz="6" w:space="0"/>
            </w:tcBorders>
            <w:vAlign w:val="center"/>
          </w:tcPr>
          <w:p w14:paraId="4D2F39C7">
            <w:pPr>
              <w:pStyle w:val="10"/>
              <w:spacing w:before="100" w:beforeAutospacing="1" w:after="100" w:afterAutospacing="1" w:line="360" w:lineRule="auto"/>
              <w:jc w:val="center"/>
              <w:rPr>
                <w:rFonts w:ascii="仿宋_GB2312" w:hAnsi="仿宋_GB2312" w:eastAsia="仿宋_GB2312" w:cs="仿宋_GB2312"/>
                <w:color w:val="auto"/>
                <w:kern w:val="2"/>
              </w:rPr>
            </w:pPr>
            <w:r>
              <w:rPr>
                <w:rFonts w:hint="eastAsia" w:ascii="仿宋_GB2312" w:hAnsi="仿宋_GB2312" w:eastAsia="仿宋_GB2312" w:cs="仿宋_GB2312"/>
                <w:color w:val="auto"/>
                <w:kern w:val="2"/>
              </w:rPr>
              <w:t>环固体</w:t>
            </w:r>
            <w:r>
              <w:rPr>
                <w:rFonts w:hint="eastAsia" w:ascii="仿宋_GB2312" w:hAnsi="仿宋_GB2312" w:eastAsia="仿宋_GB2312" w:cs="仿宋_GB2312"/>
                <w:color w:val="auto"/>
                <w:kern w:val="2"/>
                <w:lang w:eastAsia="zh-CN"/>
              </w:rPr>
              <w:t>〔2025〕10号</w:t>
            </w:r>
          </w:p>
        </w:tc>
        <w:tc>
          <w:tcPr>
            <w:tcW w:w="3721" w:type="pct"/>
            <w:tcBorders>
              <w:top w:val="single" w:color="auto" w:sz="6" w:space="0"/>
              <w:left w:val="single" w:color="auto" w:sz="6" w:space="0"/>
              <w:bottom w:val="single" w:color="auto" w:sz="6" w:space="0"/>
              <w:right w:val="single" w:color="auto" w:sz="6" w:space="0"/>
            </w:tcBorders>
            <w:vAlign w:val="center"/>
          </w:tcPr>
          <w:p w14:paraId="57B14C83">
            <w:pPr>
              <w:pStyle w:val="10"/>
              <w:spacing w:before="100" w:beforeAutospacing="1" w:after="100" w:afterAutospacing="1" w:line="360" w:lineRule="auto"/>
              <w:rPr>
                <w:rFonts w:ascii="仿宋_GB2312" w:hAnsi="仿宋_GB2312" w:eastAsia="仿宋_GB2312" w:cs="仿宋_GB2312"/>
                <w:color w:val="auto"/>
                <w:kern w:val="2"/>
              </w:rPr>
            </w:pPr>
            <w:r>
              <w:rPr>
                <w:rFonts w:hint="eastAsia" w:ascii="仿宋_GB2312" w:hAnsi="仿宋_GB2312" w:eastAsia="仿宋_GB2312" w:cs="仿宋_GB2312"/>
                <w:color w:val="auto"/>
                <w:kern w:val="2"/>
              </w:rPr>
              <w:t>《关于进一步加强危险废物环境治理 严密防控环境风险的指导意见》</w:t>
            </w:r>
          </w:p>
        </w:tc>
      </w:tr>
      <w:tr w14:paraId="1E1AC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278" w:type="pct"/>
            <w:tcBorders>
              <w:top w:val="single" w:color="auto" w:sz="6" w:space="0"/>
              <w:left w:val="single" w:color="auto" w:sz="6" w:space="0"/>
              <w:bottom w:val="single" w:color="auto" w:sz="6" w:space="0"/>
              <w:right w:val="single" w:color="auto" w:sz="6" w:space="0"/>
            </w:tcBorders>
            <w:vAlign w:val="center"/>
          </w:tcPr>
          <w:p w14:paraId="627037CB">
            <w:pPr>
              <w:pStyle w:val="10"/>
              <w:spacing w:before="100" w:beforeAutospacing="1" w:after="100" w:afterAutospacing="1" w:line="360" w:lineRule="auto"/>
              <w:jc w:val="center"/>
              <w:rPr>
                <w:rFonts w:ascii="仿宋_GB2312" w:hAnsi="仿宋_GB2312" w:eastAsia="仿宋_GB2312" w:cs="仿宋_GB2312"/>
                <w:color w:val="auto"/>
                <w:kern w:val="2"/>
              </w:rPr>
            </w:pPr>
            <w:bookmarkStart w:id="3" w:name="OLE_LINK14"/>
            <w:bookmarkStart w:id="4" w:name="OLE_LINK15"/>
            <w:bookmarkStart w:id="5" w:name="_Hlk229323633"/>
            <w:r>
              <w:rPr>
                <w:rFonts w:hint="eastAsia" w:ascii="仿宋_GB2312" w:hAnsi="仿宋_GB2312" w:eastAsia="仿宋_GB2312" w:cs="仿宋_GB2312"/>
                <w:color w:val="auto"/>
                <w:kern w:val="2"/>
              </w:rPr>
              <w:t>云环发</w:t>
            </w:r>
            <w:r>
              <w:rPr>
                <w:rFonts w:hint="eastAsia" w:ascii="仿宋_GB2312" w:hAnsi="仿宋_GB2312" w:eastAsia="仿宋_GB2312" w:cs="仿宋_GB2312"/>
                <w:color w:val="auto"/>
                <w:kern w:val="2"/>
                <w:lang w:eastAsia="zh-CN"/>
              </w:rPr>
              <w:t>〔2026〕482号</w:t>
            </w:r>
            <w:bookmarkEnd w:id="3"/>
            <w:bookmarkEnd w:id="4"/>
          </w:p>
        </w:tc>
        <w:tc>
          <w:tcPr>
            <w:tcW w:w="3721" w:type="pct"/>
            <w:tcBorders>
              <w:top w:val="single" w:color="auto" w:sz="6" w:space="0"/>
              <w:left w:val="single" w:color="auto" w:sz="6" w:space="0"/>
              <w:bottom w:val="single" w:color="auto" w:sz="6" w:space="0"/>
              <w:right w:val="single" w:color="auto" w:sz="6" w:space="0"/>
            </w:tcBorders>
            <w:vAlign w:val="center"/>
          </w:tcPr>
          <w:p w14:paraId="349DE376">
            <w:pPr>
              <w:pStyle w:val="10"/>
              <w:spacing w:before="100" w:beforeAutospacing="1" w:after="100" w:afterAutospacing="1" w:line="360" w:lineRule="auto"/>
              <w:rPr>
                <w:rFonts w:ascii="仿宋_GB2312" w:hAnsi="仿宋_GB2312" w:eastAsia="仿宋_GB2312" w:cs="仿宋_GB2312"/>
                <w:color w:val="auto"/>
                <w:kern w:val="2"/>
              </w:rPr>
            </w:pPr>
            <w:bookmarkStart w:id="6" w:name="OLE_LINK13"/>
            <w:r>
              <w:rPr>
                <w:rFonts w:hint="eastAsia" w:ascii="仿宋_GB2312" w:hAnsi="仿宋_GB2312" w:eastAsia="仿宋_GB2312" w:cs="仿宋_GB2312"/>
                <w:color w:val="auto"/>
                <w:kern w:val="2"/>
              </w:rPr>
              <w:t>《云南省生态环境厅关于做好切换使用全国危险废物全过程环境管理信息系统有关事项的通知》</w:t>
            </w:r>
            <w:bookmarkEnd w:id="6"/>
          </w:p>
        </w:tc>
      </w:tr>
      <w:bookmarkEnd w:id="5"/>
    </w:tbl>
    <w:p w14:paraId="5599B742">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项目需求</w:t>
      </w:r>
    </w:p>
    <w:p w14:paraId="1251E114">
      <w:pPr>
        <w:pStyle w:val="9"/>
        <w:numPr>
          <w:ilvl w:val="1"/>
          <w:numId w:val="2"/>
        </w:numPr>
        <w:spacing w:line="276" w:lineRule="auto"/>
        <w:ind w:hanging="709" w:firstLineChars="0"/>
        <w:rPr>
          <w:rFonts w:ascii="仿宋_GB2312" w:hAnsi="仿宋_GB2312" w:eastAsia="仿宋_GB2312" w:cs="仿宋_GB2312"/>
          <w:sz w:val="30"/>
          <w:szCs w:val="30"/>
        </w:rPr>
      </w:pPr>
      <w:bookmarkStart w:id="7" w:name="OLE_LINK20"/>
      <w:r>
        <w:rPr>
          <w:rFonts w:hint="eastAsia" w:ascii="仿宋_GB2312" w:hAnsi="仿宋_GB2312" w:eastAsia="仿宋_GB2312" w:cs="仿宋_GB2312"/>
          <w:sz w:val="30"/>
          <w:szCs w:val="30"/>
        </w:rPr>
        <w:t>主要危废现状：</w:t>
      </w:r>
    </w:p>
    <w:p w14:paraId="742191C3">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1）精馏废弃物；2）废酸；3）废矿物油；4）废蓄电池；5）废化验试剂；6）废循环药剂桶；7）废活性炭等危险废物。</w:t>
      </w:r>
    </w:p>
    <w:bookmarkEnd w:id="7"/>
    <w:p w14:paraId="3C9D71F8">
      <w:pPr>
        <w:pStyle w:val="9"/>
        <w:numPr>
          <w:ilvl w:val="1"/>
          <w:numId w:val="2"/>
        </w:numPr>
        <w:spacing w:line="276" w:lineRule="auto"/>
        <w:ind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智能化管理功能建设需求</w:t>
      </w:r>
    </w:p>
    <w:p w14:paraId="3141D84E">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1）“五即”管理功能：实现危险废物从产生环节即完成称重、包装、打印粘贴电子标签、扫码入库的全流程智能化操作。</w:t>
      </w:r>
    </w:p>
    <w:p w14:paraId="50F6EA80">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2）“一码贯通”功能：所有危废包装粘贴统一格式的二维码电子标签，支持从产生到转移处置全过程扫码追溯。</w:t>
      </w:r>
    </w:p>
    <w:p w14:paraId="263DB1AC">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3）自动称重与数据采集：配置智能物联网秤，称重数据自动上传至智能终端，避免人工录入错误。</w:t>
      </w:r>
    </w:p>
    <w:p w14:paraId="402CE776">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4）电子标签自动生成与打印：支持100×100mm、150×150mm、200×200mm等规格危废标签，内置符合国网系统要求的二维码及数字识别码。</w:t>
      </w:r>
    </w:p>
    <w:p w14:paraId="1B949CAC">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5）自动生成电子台账：系统自动生成入库、出库、库存等电子台账，无需手工记录，支持多部门数据实时共享。</w:t>
      </w:r>
    </w:p>
    <w:p w14:paraId="3A2B0C1A">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6）数据实时上传：通过4G/</w:t>
      </w:r>
      <w:r>
        <w:rPr>
          <w:rFonts w:hint="eastAsia" w:ascii="仿宋_GB2312" w:hAnsi="仿宋_GB2312" w:eastAsia="仿宋_GB2312" w:cs="仿宋_GB2312"/>
          <w:sz w:val="30"/>
          <w:szCs w:val="30"/>
          <w:lang w:eastAsia="zh-CN"/>
        </w:rPr>
        <w:t>Wi-Fi</w:t>
      </w:r>
      <w:r>
        <w:rPr>
          <w:rFonts w:hint="eastAsia" w:ascii="仿宋_GB2312" w:hAnsi="仿宋_GB2312" w:eastAsia="仿宋_GB2312" w:cs="仿宋_GB2312"/>
          <w:sz w:val="30"/>
          <w:szCs w:val="30"/>
        </w:rPr>
        <w:t>/有线网络，将危废产生、入库、出库等数据实时同步至“全国危险废物全过程环境管理信息系统”。</w:t>
      </w:r>
    </w:p>
    <w:p w14:paraId="65F92E55">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7）扫码出入库：配置工业级扫码枪或手持终端，支持危废包装二维码快速扫码出入库，自动生成转移联单。</w:t>
      </w:r>
    </w:p>
    <w:p w14:paraId="51C1973B">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8）库存实时查询与报表：支持实时查看各危废间贮存量、按需生成统计报表。</w:t>
      </w:r>
    </w:p>
    <w:p w14:paraId="55B1126D">
      <w:pPr>
        <w:pStyle w:val="9"/>
        <w:numPr>
          <w:ilvl w:val="1"/>
          <w:numId w:val="2"/>
        </w:numPr>
        <w:spacing w:line="276" w:lineRule="auto"/>
        <w:ind w:hanging="777" w:firstLineChars="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场地改造</w:t>
      </w:r>
    </w:p>
    <w:p w14:paraId="0422D2DF">
      <w:pPr>
        <w:spacing w:line="276" w:lineRule="auto"/>
        <w:ind w:firstLine="600" w:firstLineChars="20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对设备安装现场进行基本的装修，对墙体、地面、屋顶进行基本的装修改造，电源及网线的穿管布设，房间达到地面平整、不积水、不松软、防雨等，现场环境符合标准要求，确保设备安全，方便使用，美观整洁大方，符合昆纤5S管理要求。项目为总承包方式，投标人综合考虑，全权负责项目实施，实现交后即用。</w:t>
      </w:r>
    </w:p>
    <w:p w14:paraId="7B4E54CF">
      <w:pPr>
        <w:pStyle w:val="9"/>
        <w:numPr>
          <w:ilvl w:val="1"/>
          <w:numId w:val="2"/>
        </w:numPr>
        <w:spacing w:line="276" w:lineRule="auto"/>
        <w:ind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设备配置基本要求</w:t>
      </w:r>
    </w:p>
    <w:p w14:paraId="16D7094C">
      <w:pPr>
        <w:pStyle w:val="9"/>
        <w:spacing w:line="276" w:lineRule="auto"/>
        <w:ind w:left="596" w:leftChars="284" w:firstLine="36" w:firstLineChars="12"/>
        <w:rPr>
          <w:rFonts w:ascii="仿宋_GB2312" w:hAnsi="仿宋_GB2312" w:eastAsia="仿宋_GB2312" w:cs="仿宋_GB2312"/>
          <w:sz w:val="30"/>
          <w:szCs w:val="30"/>
        </w:rPr>
      </w:pPr>
      <w:r>
        <w:rPr>
          <w:rFonts w:hint="eastAsia" w:ascii="仿宋_GB2312" w:hAnsi="仿宋_GB2312" w:eastAsia="仿宋_GB2312" w:cs="仿宋_GB2312"/>
          <w:sz w:val="30"/>
          <w:szCs w:val="30"/>
        </w:rPr>
        <w:t>根据昆纤公司三个危废间的布局，投标人应至少提供以下设</w:t>
      </w:r>
    </w:p>
    <w:p w14:paraId="09D384FF">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备（可结合现场优化方案）：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9"/>
        <w:gridCol w:w="5400"/>
        <w:gridCol w:w="1272"/>
      </w:tblGrid>
      <w:tr w14:paraId="53EF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0A3E8EF5">
            <w:pPr>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设备类型</w:t>
            </w:r>
          </w:p>
        </w:tc>
        <w:tc>
          <w:tcPr>
            <w:tcW w:w="5400" w:type="dxa"/>
            <w:vAlign w:val="center"/>
          </w:tcPr>
          <w:p w14:paraId="7038B975">
            <w:pPr>
              <w:spacing w:line="360" w:lineRule="auto"/>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基本技术要求</w:t>
            </w:r>
          </w:p>
        </w:tc>
        <w:tc>
          <w:tcPr>
            <w:tcW w:w="1272" w:type="dxa"/>
            <w:vAlign w:val="center"/>
          </w:tcPr>
          <w:p w14:paraId="46D2CD31">
            <w:pPr>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最少数量</w:t>
            </w:r>
          </w:p>
        </w:tc>
      </w:tr>
      <w:tr w14:paraId="15FF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1A150E6A">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固定式危废智能终端</w:t>
            </w:r>
          </w:p>
        </w:tc>
        <w:tc>
          <w:tcPr>
            <w:tcW w:w="5400" w:type="dxa"/>
            <w:vAlign w:val="center"/>
          </w:tcPr>
          <w:p w14:paraId="71751952">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12寸以上触控屏，Android系统，4G/</w:t>
            </w:r>
            <w:r>
              <w:rPr>
                <w:rFonts w:hint="eastAsia" w:ascii="仿宋_GB2312" w:hAnsi="仿宋_GB2312" w:eastAsia="仿宋_GB2312" w:cs="仿宋_GB2312"/>
                <w:color w:val="0F1115"/>
                <w:sz w:val="24"/>
                <w:szCs w:val="24"/>
                <w:shd w:val="clear" w:color="auto" w:fill="FFFFFF"/>
                <w:lang w:eastAsia="zh-CN"/>
              </w:rPr>
              <w:t>Wi-Fi</w:t>
            </w:r>
            <w:r>
              <w:rPr>
                <w:rFonts w:hint="eastAsia" w:ascii="仿宋_GB2312" w:hAnsi="仿宋_GB2312" w:eastAsia="仿宋_GB2312" w:cs="仿宋_GB2312"/>
                <w:color w:val="0F1115"/>
                <w:sz w:val="24"/>
                <w:szCs w:val="24"/>
                <w:shd w:val="clear" w:color="auto" w:fill="FFFFFF"/>
              </w:rPr>
              <w:t>/网口，内置热敏打印机（支持10/15/20cm行业通用标签），移动式工业级扫码枪，防护等级IP5以上</w:t>
            </w:r>
          </w:p>
        </w:tc>
        <w:tc>
          <w:tcPr>
            <w:tcW w:w="1272" w:type="dxa"/>
            <w:vAlign w:val="center"/>
          </w:tcPr>
          <w:p w14:paraId="48F4058C">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1套</w:t>
            </w:r>
          </w:p>
        </w:tc>
      </w:tr>
      <w:tr w14:paraId="6F35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2321FEB6">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移动式智能终端（手持PDA）</w:t>
            </w:r>
          </w:p>
        </w:tc>
        <w:tc>
          <w:tcPr>
            <w:tcW w:w="5400" w:type="dxa"/>
            <w:vAlign w:val="center"/>
          </w:tcPr>
          <w:p w14:paraId="29D11A83">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5.5寸以上触控屏，</w:t>
            </w:r>
            <w:bookmarkStart w:id="8" w:name="OLE_LINK24"/>
            <w:r>
              <w:rPr>
                <w:rFonts w:hint="eastAsia" w:ascii="仿宋_GB2312" w:hAnsi="仿宋_GB2312" w:eastAsia="仿宋_GB2312" w:cs="仿宋_GB2312"/>
                <w:color w:val="0F1115"/>
                <w:sz w:val="24"/>
                <w:szCs w:val="24"/>
                <w:shd w:val="clear" w:color="auto" w:fill="FFFFFF"/>
              </w:rPr>
              <w:t>4G/</w:t>
            </w:r>
            <w:bookmarkEnd w:id="8"/>
            <w:bookmarkStart w:id="9" w:name="OLE_LINK23"/>
            <w:r>
              <w:rPr>
                <w:rFonts w:hint="eastAsia" w:ascii="仿宋_GB2312" w:hAnsi="仿宋_GB2312" w:eastAsia="仿宋_GB2312" w:cs="仿宋_GB2312"/>
                <w:color w:val="0F1115"/>
                <w:sz w:val="24"/>
                <w:szCs w:val="24"/>
                <w:shd w:val="clear" w:color="auto" w:fill="FFFFFF"/>
                <w:lang w:eastAsia="zh-CN"/>
              </w:rPr>
              <w:t>Wi-Fi</w:t>
            </w:r>
            <w:bookmarkEnd w:id="9"/>
            <w:r>
              <w:rPr>
                <w:rFonts w:hint="eastAsia" w:ascii="仿宋_GB2312" w:hAnsi="仿宋_GB2312" w:eastAsia="仿宋_GB2312" w:cs="仿宋_GB2312"/>
                <w:color w:val="0F1115"/>
                <w:sz w:val="24"/>
                <w:szCs w:val="24"/>
                <w:shd w:val="clear" w:color="auto" w:fill="FFFFFF"/>
              </w:rPr>
              <w:t>，可变焦扫码，1300万像素摄像头，支持移动多仓库、多地点的出入库扫码信息录入</w:t>
            </w:r>
          </w:p>
        </w:tc>
        <w:tc>
          <w:tcPr>
            <w:tcW w:w="1272" w:type="dxa"/>
            <w:vAlign w:val="center"/>
          </w:tcPr>
          <w:p w14:paraId="49C771D9">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1套</w:t>
            </w:r>
          </w:p>
        </w:tc>
      </w:tr>
      <w:tr w14:paraId="481A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186D2064">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大量程智能物联网秤</w:t>
            </w:r>
          </w:p>
        </w:tc>
        <w:tc>
          <w:tcPr>
            <w:tcW w:w="5400" w:type="dxa"/>
            <w:vAlign w:val="center"/>
          </w:tcPr>
          <w:p w14:paraId="500C1D24">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量程≥3000kg，精度≤500g，台面尺寸≥1.2m×1.2m，串口/蓝牙/</w:t>
            </w:r>
            <w:bookmarkStart w:id="10" w:name="OLE_LINK22"/>
            <w:r>
              <w:rPr>
                <w:rFonts w:hint="eastAsia" w:ascii="仿宋_GB2312" w:hAnsi="仿宋_GB2312" w:eastAsia="仿宋_GB2312" w:cs="仿宋_GB2312"/>
                <w:color w:val="0F1115"/>
                <w:sz w:val="24"/>
                <w:szCs w:val="24"/>
                <w:shd w:val="clear" w:color="auto" w:fill="FFFFFF"/>
              </w:rPr>
              <w:t>4G/</w:t>
            </w:r>
            <w:r>
              <w:rPr>
                <w:rFonts w:hint="eastAsia" w:ascii="仿宋_GB2312" w:hAnsi="仿宋_GB2312" w:eastAsia="仿宋_GB2312" w:cs="仿宋_GB2312"/>
                <w:color w:val="0F1115"/>
                <w:sz w:val="24"/>
                <w:szCs w:val="24"/>
                <w:shd w:val="clear" w:color="auto" w:fill="FFFFFF"/>
                <w:lang w:eastAsia="zh-CN"/>
              </w:rPr>
              <w:t>Wi-Fi</w:t>
            </w:r>
            <w:r>
              <w:rPr>
                <w:rFonts w:hint="eastAsia" w:ascii="仿宋_GB2312" w:hAnsi="仿宋_GB2312" w:eastAsia="仿宋_GB2312" w:cs="仿宋_GB2312"/>
                <w:color w:val="0F1115"/>
                <w:sz w:val="24"/>
                <w:szCs w:val="24"/>
                <w:shd w:val="clear" w:color="auto" w:fill="FFFFFF"/>
              </w:rPr>
              <w:t>通讯</w:t>
            </w:r>
            <w:bookmarkEnd w:id="10"/>
            <w:r>
              <w:rPr>
                <w:rFonts w:hint="eastAsia" w:ascii="仿宋_GB2312" w:hAnsi="仿宋_GB2312" w:eastAsia="仿宋_GB2312" w:cs="仿宋_GB2312"/>
                <w:color w:val="0F1115"/>
                <w:sz w:val="24"/>
                <w:szCs w:val="24"/>
                <w:shd w:val="clear" w:color="auto" w:fill="FFFFFF"/>
              </w:rPr>
              <w:t>，有检定</w:t>
            </w:r>
            <w:bookmarkStart w:id="11" w:name="OLE_LINK27"/>
            <w:r>
              <w:rPr>
                <w:rFonts w:hint="eastAsia" w:ascii="仿宋_GB2312" w:hAnsi="仿宋_GB2312" w:eastAsia="仿宋_GB2312" w:cs="仿宋_GB2312"/>
                <w:color w:val="0F1115"/>
                <w:sz w:val="24"/>
                <w:szCs w:val="24"/>
                <w:shd w:val="clear" w:color="auto" w:fill="FFFFFF"/>
              </w:rPr>
              <w:t>合格</w:t>
            </w:r>
            <w:bookmarkEnd w:id="11"/>
            <w:r>
              <w:rPr>
                <w:rFonts w:hint="eastAsia" w:ascii="仿宋_GB2312" w:hAnsi="仿宋_GB2312" w:eastAsia="仿宋_GB2312" w:cs="仿宋_GB2312"/>
                <w:color w:val="0F1115"/>
                <w:sz w:val="24"/>
                <w:szCs w:val="24"/>
                <w:shd w:val="clear" w:color="auto" w:fill="FFFFFF"/>
              </w:rPr>
              <w:t>证书</w:t>
            </w:r>
          </w:p>
        </w:tc>
        <w:tc>
          <w:tcPr>
            <w:tcW w:w="1272" w:type="dxa"/>
            <w:vAlign w:val="center"/>
          </w:tcPr>
          <w:p w14:paraId="44A514B4">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1套</w:t>
            </w:r>
          </w:p>
        </w:tc>
      </w:tr>
      <w:tr w14:paraId="2011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161B25D1">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小量程智能物联网秤</w:t>
            </w:r>
          </w:p>
        </w:tc>
        <w:tc>
          <w:tcPr>
            <w:tcW w:w="5400" w:type="dxa"/>
            <w:vAlign w:val="center"/>
          </w:tcPr>
          <w:p w14:paraId="6EAAF243">
            <w:pPr>
              <w:spacing w:line="360" w:lineRule="auto"/>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量程≥5kg，精度≤0.1g，台面尺寸≥0.6m×0.8m，蓝牙/串口/4G/</w:t>
            </w:r>
            <w:r>
              <w:rPr>
                <w:rFonts w:hint="eastAsia" w:ascii="仿宋_GB2312" w:hAnsi="仿宋_GB2312" w:eastAsia="仿宋_GB2312" w:cs="仿宋_GB2312"/>
                <w:color w:val="0F1115"/>
                <w:sz w:val="24"/>
                <w:szCs w:val="24"/>
                <w:shd w:val="clear" w:color="auto" w:fill="FFFFFF"/>
                <w:lang w:eastAsia="zh-CN"/>
              </w:rPr>
              <w:t>Wi-Fi</w:t>
            </w:r>
            <w:r>
              <w:rPr>
                <w:rFonts w:hint="eastAsia" w:ascii="仿宋_GB2312" w:hAnsi="仿宋_GB2312" w:eastAsia="仿宋_GB2312" w:cs="仿宋_GB2312"/>
                <w:color w:val="0F1115"/>
                <w:sz w:val="24"/>
                <w:szCs w:val="24"/>
                <w:shd w:val="clear" w:color="auto" w:fill="FFFFFF"/>
              </w:rPr>
              <w:t>通讯，</w:t>
            </w:r>
            <w:bookmarkStart w:id="12" w:name="OLE_LINK26"/>
            <w:r>
              <w:rPr>
                <w:rFonts w:hint="eastAsia" w:ascii="仿宋_GB2312" w:hAnsi="仿宋_GB2312" w:eastAsia="仿宋_GB2312" w:cs="仿宋_GB2312"/>
                <w:color w:val="0F1115"/>
                <w:sz w:val="24"/>
                <w:szCs w:val="24"/>
                <w:shd w:val="clear" w:color="auto" w:fill="FFFFFF"/>
              </w:rPr>
              <w:t>有检定合格证书</w:t>
            </w:r>
            <w:bookmarkEnd w:id="12"/>
          </w:p>
        </w:tc>
        <w:tc>
          <w:tcPr>
            <w:tcW w:w="1272" w:type="dxa"/>
            <w:vAlign w:val="center"/>
          </w:tcPr>
          <w:p w14:paraId="1DBA1678">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1套</w:t>
            </w:r>
          </w:p>
        </w:tc>
      </w:tr>
      <w:tr w14:paraId="24C0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19247305">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危废标签</w:t>
            </w:r>
          </w:p>
          <w:p w14:paraId="24229952">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打印纸</w:t>
            </w:r>
          </w:p>
        </w:tc>
        <w:tc>
          <w:tcPr>
            <w:tcW w:w="5400" w:type="dxa"/>
            <w:vAlign w:val="center"/>
          </w:tcPr>
          <w:p w14:paraId="386DF1B5">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按符合行业通用标准的尺寸和规范提供，有背胶</w:t>
            </w:r>
          </w:p>
        </w:tc>
        <w:tc>
          <w:tcPr>
            <w:tcW w:w="1272" w:type="dxa"/>
            <w:vAlign w:val="center"/>
          </w:tcPr>
          <w:p w14:paraId="1C5829A0">
            <w:pPr>
              <w:spacing w:line="360" w:lineRule="auto"/>
              <w:rPr>
                <w:rFonts w:ascii="仿宋_GB2312" w:hAnsi="仿宋_GB2312" w:eastAsia="仿宋_GB2312" w:cs="仿宋_GB2312"/>
                <w:color w:val="0F1115"/>
                <w:sz w:val="24"/>
                <w:szCs w:val="24"/>
                <w:shd w:val="clear" w:color="auto" w:fill="FFFFFF"/>
              </w:rPr>
            </w:pPr>
            <w:r>
              <w:rPr>
                <w:rFonts w:hint="eastAsia" w:ascii="仿宋_GB2312" w:hAnsi="仿宋_GB2312" w:eastAsia="仿宋_GB2312" w:cs="仿宋_GB2312"/>
                <w:color w:val="0F1115"/>
                <w:sz w:val="24"/>
                <w:szCs w:val="24"/>
                <w:shd w:val="clear" w:color="auto" w:fill="FFFFFF"/>
              </w:rPr>
              <w:t>100张</w:t>
            </w:r>
          </w:p>
        </w:tc>
      </w:tr>
      <w:tr w14:paraId="1C58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14:paraId="6659E17B">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售后服务</w:t>
            </w:r>
          </w:p>
        </w:tc>
        <w:tc>
          <w:tcPr>
            <w:tcW w:w="5400" w:type="dxa"/>
            <w:vAlign w:val="center"/>
          </w:tcPr>
          <w:p w14:paraId="4AB8D4C2">
            <w:pPr>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后期免费服务升级，7*24小时服务，免费故障维修和质保（人为损坏除外）</w:t>
            </w:r>
          </w:p>
        </w:tc>
        <w:tc>
          <w:tcPr>
            <w:tcW w:w="1272" w:type="dxa"/>
            <w:vAlign w:val="center"/>
          </w:tcPr>
          <w:p w14:paraId="38071A9C">
            <w:pPr>
              <w:spacing w:line="360" w:lineRule="auto"/>
              <w:ind w:firstLine="240" w:firstLineChars="100"/>
              <w:rPr>
                <w:rFonts w:ascii="仿宋_GB2312" w:hAnsi="仿宋_GB2312" w:eastAsia="仿宋_GB2312" w:cs="仿宋_GB2312"/>
                <w:sz w:val="24"/>
                <w:szCs w:val="24"/>
              </w:rPr>
            </w:pPr>
            <w:r>
              <w:rPr>
                <w:rFonts w:hint="eastAsia" w:ascii="仿宋_GB2312" w:hAnsi="仿宋_GB2312" w:eastAsia="仿宋_GB2312" w:cs="仿宋_GB2312"/>
                <w:color w:val="0F1115"/>
                <w:sz w:val="24"/>
                <w:szCs w:val="24"/>
                <w:shd w:val="clear" w:color="auto" w:fill="FFFFFF"/>
              </w:rPr>
              <w:t>≥3年</w:t>
            </w:r>
          </w:p>
        </w:tc>
      </w:tr>
    </w:tbl>
    <w:p w14:paraId="6925EE79">
      <w:pPr>
        <w:spacing w:line="276" w:lineRule="auto"/>
        <w:rPr>
          <w:rFonts w:ascii="宋体" w:hAnsi="宋体" w:eastAsia="宋体"/>
          <w:sz w:val="18"/>
          <w:szCs w:val="18"/>
        </w:rPr>
      </w:pPr>
      <w:r>
        <w:rPr>
          <w:rFonts w:hint="eastAsia" w:ascii="仿宋_GB2312" w:hAnsi="仿宋_GB2312" w:eastAsia="仿宋_GB2312" w:cs="仿宋_GB2312"/>
          <w:sz w:val="28"/>
          <w:szCs w:val="28"/>
        </w:rPr>
        <w:t>注：投标人可根据现场实际情况调整设备配置方案，为甲方提供更合理，更优异的实施方案，但须满足“五即管理”及数据联网上传的全部功能要求。</w:t>
      </w:r>
    </w:p>
    <w:p w14:paraId="327A8400">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工程/服务施工技术要求</w:t>
      </w:r>
    </w:p>
    <w:p w14:paraId="4D7D38AC">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工程/服务施工组织设计</w:t>
      </w:r>
    </w:p>
    <w:p w14:paraId="7FF639C2">
      <w:pPr>
        <w:spacing w:line="276" w:lineRule="auto"/>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投标人应在投标前进行现场踏勘。合同签订后5个工作日内完成设备及材料的请购，确认各危废间设备安装位置、电源、网络条件提供详细的施工组织方案，包括设备安装、布线、调试、培训等时间节点及人员安排。施工期间不得影响昆纤公司正常生产及危废管理活动。</w:t>
      </w:r>
    </w:p>
    <w:p w14:paraId="48DD6C4F">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现场施工具体要求</w:t>
      </w:r>
    </w:p>
    <w:p w14:paraId="3DB938E3">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1）设备安装位置应便于操作，</w:t>
      </w:r>
      <w:bookmarkStart w:id="13" w:name="OLE_LINK25"/>
      <w:r>
        <w:rPr>
          <w:rFonts w:hint="eastAsia" w:ascii="仿宋_GB2312" w:hAnsi="仿宋_GB2312" w:eastAsia="仿宋_GB2312" w:cs="仿宋_GB2312"/>
          <w:sz w:val="30"/>
          <w:szCs w:val="30"/>
        </w:rPr>
        <w:t>安装达到昆纤5S管理要求。</w:t>
      </w:r>
      <w:bookmarkEnd w:id="13"/>
    </w:p>
    <w:p w14:paraId="3E625ED6">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2）每个安装点需安装标准220V交流电源（接地），并预留至少2个三孔插座。</w:t>
      </w:r>
    </w:p>
    <w:p w14:paraId="5565EFCD">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3）智能终端优先采用有线网络接入，如现场不具备条件，可使用4G物联网卡，需提供3年流量。</w:t>
      </w:r>
    </w:p>
    <w:p w14:paraId="20CFE1B3">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4）地磅传感器应固定牢固，称重区域需划线标识。</w:t>
      </w:r>
    </w:p>
    <w:p w14:paraId="45E19C45">
      <w:pPr>
        <w:spacing w:line="276" w:lineRule="auto"/>
        <w:ind w:left="600" w:hanging="600" w:hangingChars="200"/>
        <w:rPr>
          <w:rFonts w:ascii="仿宋_GB2312" w:hAnsi="仿宋_GB2312" w:eastAsia="仿宋_GB2312" w:cs="仿宋_GB2312"/>
          <w:sz w:val="30"/>
          <w:szCs w:val="30"/>
        </w:rPr>
      </w:pPr>
      <w:r>
        <w:rPr>
          <w:rFonts w:hint="eastAsia" w:ascii="仿宋_GB2312" w:hAnsi="仿宋_GB2312" w:eastAsia="仿宋_GB2312" w:cs="仿宋_GB2312"/>
          <w:sz w:val="30"/>
          <w:szCs w:val="30"/>
        </w:rPr>
        <w:t>5）所有线路应穿镀锌管保护，避免人员绊倒及机械损伤，设备</w:t>
      </w:r>
    </w:p>
    <w:p w14:paraId="1CA13A9E">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做好防护接地。线缆与设备交接口使用接线盒、锁紧头固定，不得裸露电缆、裸露保护套管接头，符合相关机电设备安装要求。</w:t>
      </w:r>
    </w:p>
    <w:p w14:paraId="7242D3DC">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工程/服务过程质量控制要求</w:t>
      </w:r>
    </w:p>
    <w:p w14:paraId="5420C693">
      <w:pPr>
        <w:pStyle w:val="9"/>
        <w:numPr>
          <w:ilvl w:val="1"/>
          <w:numId w:val="2"/>
        </w:numPr>
        <w:spacing w:line="276" w:lineRule="auto"/>
        <w:ind w:hanging="709"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所有设备应为全新原厂正品，提供出厂合格证明。</w:t>
      </w:r>
    </w:p>
    <w:p w14:paraId="3C7EA5BF">
      <w:pPr>
        <w:pStyle w:val="9"/>
        <w:numPr>
          <w:ilvl w:val="1"/>
          <w:numId w:val="2"/>
        </w:numPr>
        <w:spacing w:line="276" w:lineRule="auto"/>
        <w:ind w:hanging="709"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智能终端及秤具应具备国家计量器具型式批准证书或相应</w:t>
      </w:r>
    </w:p>
    <w:p w14:paraId="53708F96">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校准证书。</w:t>
      </w:r>
    </w:p>
    <w:p w14:paraId="6596C4D7">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安装调试完成后，投标人应配合昆纤公司进行功能测试，包</w:t>
      </w:r>
    </w:p>
    <w:p w14:paraId="54C557A6">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括：称重数据准确性、标签打印清晰度及二维码可扫码性、数据上传完整</w:t>
      </w:r>
      <w:r>
        <w:rPr>
          <w:rFonts w:hint="eastAsia" w:ascii="仿宋_GB2312" w:hAnsi="仿宋_GB2312" w:eastAsia="仿宋_GB2312" w:cs="仿宋_GB2312"/>
          <w:sz w:val="30"/>
          <w:szCs w:val="30"/>
          <w:lang w:eastAsia="zh-CN"/>
        </w:rPr>
        <w:t>性和</w:t>
      </w:r>
      <w:r>
        <w:rPr>
          <w:rFonts w:hint="eastAsia" w:ascii="仿宋_GB2312" w:hAnsi="仿宋_GB2312" w:eastAsia="仿宋_GB2312" w:cs="仿宋_GB2312"/>
          <w:sz w:val="30"/>
          <w:szCs w:val="30"/>
        </w:rPr>
        <w:t>及时性。</w:t>
      </w:r>
    </w:p>
    <w:p w14:paraId="0109C6EF">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与“全国危险废物全过程环境管理信息系统”对接测试须通</w:t>
      </w:r>
    </w:p>
    <w:p w14:paraId="2C23425D">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过省生态环境厅或系统承建方的接口验证。</w:t>
      </w:r>
    </w:p>
    <w:p w14:paraId="6DBCC92E">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工期/进度</w:t>
      </w:r>
    </w:p>
    <w:p w14:paraId="60A2779A">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合同签订后20个日历日内完成全部设备的供货、安装、调</w:t>
      </w:r>
    </w:p>
    <w:p w14:paraId="3728890A">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试及培训工作。</w:t>
      </w:r>
    </w:p>
    <w:p w14:paraId="79EF1BE6">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若因政策要求（如云南省要求重点监管单位于6月底前完成</w:t>
      </w:r>
    </w:p>
    <w:p w14:paraId="12FE9964">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改造），投标人应承诺优先安排，确保提前完成。</w:t>
      </w:r>
    </w:p>
    <w:p w14:paraId="21314FA0">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报价要求</w:t>
      </w:r>
    </w:p>
    <w:p w14:paraId="4BE1A034">
      <w:pPr>
        <w:pStyle w:val="9"/>
        <w:numPr>
          <w:ilvl w:val="1"/>
          <w:numId w:val="2"/>
        </w:numPr>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投标报价前需现场踏勘，详细了解需求及现场工况。</w:t>
      </w:r>
    </w:p>
    <w:p w14:paraId="655009C7">
      <w:pPr>
        <w:pStyle w:val="9"/>
        <w:numPr>
          <w:ilvl w:val="1"/>
          <w:numId w:val="2"/>
        </w:numPr>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报价须包含：所有硬件设备费、软件许可费（含与国网系统</w:t>
      </w:r>
    </w:p>
    <w:p w14:paraId="035171A4">
      <w:pPr>
        <w:pStyle w:val="9"/>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对接的接口开发费）、安装调试费、运输费、保险费、培训费及13%增值税专用发票。</w:t>
      </w:r>
    </w:p>
    <w:p w14:paraId="3EF38E51">
      <w:pPr>
        <w:pStyle w:val="9"/>
        <w:numPr>
          <w:ilvl w:val="1"/>
          <w:numId w:val="2"/>
        </w:numPr>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须分项报价（参照下表格式）：</w:t>
      </w:r>
    </w:p>
    <w:tbl>
      <w:tblPr>
        <w:tblStyle w:val="5"/>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287"/>
        <w:gridCol w:w="1185"/>
        <w:gridCol w:w="1185"/>
        <w:gridCol w:w="1185"/>
        <w:gridCol w:w="1185"/>
      </w:tblGrid>
      <w:tr w14:paraId="7506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67EC00C8">
            <w:pPr>
              <w:spacing w:line="360" w:lineRule="auto"/>
              <w:ind w:firstLine="480" w:firstLineChars="200"/>
              <w:rPr>
                <w:rFonts w:ascii="宋体" w:hAnsi="宋体" w:eastAsia="宋体"/>
                <w:sz w:val="24"/>
                <w:szCs w:val="24"/>
              </w:rPr>
            </w:pPr>
            <w:bookmarkStart w:id="14" w:name="_Hlk229328355"/>
            <w:r>
              <w:rPr>
                <w:rFonts w:hint="eastAsia" w:ascii="宋体" w:hAnsi="宋体" w:eastAsia="宋体"/>
                <w:sz w:val="24"/>
                <w:szCs w:val="24"/>
              </w:rPr>
              <w:t>项目</w:t>
            </w:r>
          </w:p>
        </w:tc>
        <w:tc>
          <w:tcPr>
            <w:tcW w:w="1287" w:type="dxa"/>
          </w:tcPr>
          <w:p w14:paraId="6D9C9D3B">
            <w:pPr>
              <w:spacing w:line="360" w:lineRule="auto"/>
              <w:rPr>
                <w:rFonts w:ascii="宋体" w:hAnsi="宋体" w:eastAsia="宋体"/>
                <w:sz w:val="24"/>
                <w:szCs w:val="24"/>
              </w:rPr>
            </w:pPr>
            <w:r>
              <w:rPr>
                <w:rFonts w:hint="eastAsia" w:ascii="宋体" w:hAnsi="宋体" w:eastAsia="宋体"/>
                <w:sz w:val="24"/>
                <w:szCs w:val="24"/>
              </w:rPr>
              <w:t>品牌型号</w:t>
            </w:r>
          </w:p>
        </w:tc>
        <w:tc>
          <w:tcPr>
            <w:tcW w:w="1185" w:type="dxa"/>
          </w:tcPr>
          <w:p w14:paraId="2854F16A">
            <w:pPr>
              <w:spacing w:line="360" w:lineRule="auto"/>
              <w:rPr>
                <w:rFonts w:ascii="宋体" w:hAnsi="宋体" w:eastAsia="宋体"/>
                <w:sz w:val="24"/>
                <w:szCs w:val="24"/>
              </w:rPr>
            </w:pPr>
            <w:r>
              <w:rPr>
                <w:rFonts w:hint="eastAsia" w:ascii="宋体" w:hAnsi="宋体" w:eastAsia="宋体"/>
                <w:sz w:val="24"/>
                <w:szCs w:val="24"/>
              </w:rPr>
              <w:t>数量</w:t>
            </w:r>
          </w:p>
        </w:tc>
        <w:tc>
          <w:tcPr>
            <w:tcW w:w="1185" w:type="dxa"/>
          </w:tcPr>
          <w:p w14:paraId="70B2B7D2">
            <w:pPr>
              <w:spacing w:line="360" w:lineRule="auto"/>
              <w:rPr>
                <w:rFonts w:ascii="宋体" w:hAnsi="宋体" w:eastAsia="宋体"/>
                <w:sz w:val="24"/>
                <w:szCs w:val="24"/>
              </w:rPr>
            </w:pPr>
            <w:r>
              <w:rPr>
                <w:rFonts w:hint="eastAsia" w:ascii="宋体" w:hAnsi="宋体" w:eastAsia="宋体"/>
                <w:sz w:val="24"/>
                <w:szCs w:val="24"/>
              </w:rPr>
              <w:t>单价（元）</w:t>
            </w:r>
          </w:p>
        </w:tc>
        <w:tc>
          <w:tcPr>
            <w:tcW w:w="1185" w:type="dxa"/>
          </w:tcPr>
          <w:p w14:paraId="013781A8">
            <w:pPr>
              <w:spacing w:line="360" w:lineRule="auto"/>
              <w:rPr>
                <w:rFonts w:ascii="宋体" w:hAnsi="宋体" w:eastAsia="宋体"/>
                <w:sz w:val="24"/>
                <w:szCs w:val="24"/>
              </w:rPr>
            </w:pPr>
            <w:r>
              <w:rPr>
                <w:rFonts w:hint="eastAsia" w:ascii="宋体" w:hAnsi="宋体" w:eastAsia="宋体"/>
                <w:sz w:val="24"/>
                <w:szCs w:val="24"/>
              </w:rPr>
              <w:t>总价（元）</w:t>
            </w:r>
          </w:p>
        </w:tc>
        <w:tc>
          <w:tcPr>
            <w:tcW w:w="1185" w:type="dxa"/>
          </w:tcPr>
          <w:p w14:paraId="20E1B7C4">
            <w:pPr>
              <w:spacing w:line="360" w:lineRule="auto"/>
              <w:rPr>
                <w:rFonts w:ascii="宋体" w:hAnsi="宋体" w:eastAsia="宋体"/>
                <w:sz w:val="24"/>
                <w:szCs w:val="24"/>
              </w:rPr>
            </w:pPr>
            <w:r>
              <w:rPr>
                <w:rFonts w:hint="eastAsia" w:ascii="宋体" w:hAnsi="宋体" w:eastAsia="宋体"/>
                <w:sz w:val="24"/>
                <w:szCs w:val="24"/>
              </w:rPr>
              <w:t>备注</w:t>
            </w:r>
          </w:p>
        </w:tc>
      </w:tr>
      <w:tr w14:paraId="6CA8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2319635B">
            <w:pPr>
              <w:spacing w:line="360" w:lineRule="auto"/>
              <w:rPr>
                <w:rFonts w:ascii="宋体" w:hAnsi="宋体" w:eastAsia="宋体"/>
                <w:sz w:val="24"/>
                <w:szCs w:val="24"/>
              </w:rPr>
            </w:pPr>
            <w:r>
              <w:rPr>
                <w:rFonts w:hint="eastAsia" w:ascii="宋体" w:hAnsi="宋体" w:eastAsia="宋体"/>
                <w:sz w:val="24"/>
                <w:szCs w:val="24"/>
              </w:rPr>
              <w:t>固定式智能终端</w:t>
            </w:r>
          </w:p>
        </w:tc>
        <w:tc>
          <w:tcPr>
            <w:tcW w:w="1287" w:type="dxa"/>
          </w:tcPr>
          <w:p w14:paraId="5BFB4666">
            <w:pPr>
              <w:spacing w:line="360" w:lineRule="auto"/>
              <w:rPr>
                <w:rFonts w:ascii="宋体" w:hAnsi="宋体" w:eastAsia="宋体"/>
                <w:sz w:val="24"/>
                <w:szCs w:val="24"/>
              </w:rPr>
            </w:pPr>
          </w:p>
        </w:tc>
        <w:tc>
          <w:tcPr>
            <w:tcW w:w="1185" w:type="dxa"/>
          </w:tcPr>
          <w:p w14:paraId="0984249B">
            <w:pPr>
              <w:spacing w:line="360" w:lineRule="auto"/>
              <w:rPr>
                <w:rFonts w:ascii="宋体" w:hAnsi="宋体" w:eastAsia="宋体"/>
                <w:sz w:val="24"/>
                <w:szCs w:val="24"/>
              </w:rPr>
            </w:pPr>
          </w:p>
        </w:tc>
        <w:tc>
          <w:tcPr>
            <w:tcW w:w="1185" w:type="dxa"/>
          </w:tcPr>
          <w:p w14:paraId="39B9B203">
            <w:pPr>
              <w:spacing w:line="360" w:lineRule="auto"/>
              <w:rPr>
                <w:rFonts w:ascii="宋体" w:hAnsi="宋体" w:eastAsia="宋体"/>
                <w:sz w:val="24"/>
                <w:szCs w:val="24"/>
              </w:rPr>
            </w:pPr>
          </w:p>
        </w:tc>
        <w:tc>
          <w:tcPr>
            <w:tcW w:w="1185" w:type="dxa"/>
          </w:tcPr>
          <w:p w14:paraId="155FC6E5">
            <w:pPr>
              <w:spacing w:line="360" w:lineRule="auto"/>
              <w:rPr>
                <w:rFonts w:ascii="宋体" w:hAnsi="宋体" w:eastAsia="宋体"/>
                <w:sz w:val="24"/>
                <w:szCs w:val="24"/>
              </w:rPr>
            </w:pPr>
          </w:p>
        </w:tc>
        <w:tc>
          <w:tcPr>
            <w:tcW w:w="1185" w:type="dxa"/>
          </w:tcPr>
          <w:p w14:paraId="15396B59">
            <w:pPr>
              <w:spacing w:line="360" w:lineRule="auto"/>
              <w:rPr>
                <w:rFonts w:ascii="宋体" w:hAnsi="宋体" w:eastAsia="宋体"/>
                <w:sz w:val="24"/>
                <w:szCs w:val="24"/>
              </w:rPr>
            </w:pPr>
          </w:p>
        </w:tc>
      </w:tr>
      <w:tr w14:paraId="3EF5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24BABB57">
            <w:pPr>
              <w:spacing w:line="360" w:lineRule="auto"/>
              <w:rPr>
                <w:rFonts w:ascii="宋体" w:hAnsi="宋体" w:eastAsia="宋体"/>
                <w:sz w:val="24"/>
                <w:szCs w:val="24"/>
              </w:rPr>
            </w:pPr>
            <w:r>
              <w:rPr>
                <w:rFonts w:hint="eastAsia" w:ascii="宋体" w:hAnsi="宋体" w:eastAsia="宋体"/>
                <w:sz w:val="24"/>
                <w:szCs w:val="24"/>
              </w:rPr>
              <w:t>移动式智能终端</w:t>
            </w:r>
          </w:p>
        </w:tc>
        <w:tc>
          <w:tcPr>
            <w:tcW w:w="1287" w:type="dxa"/>
          </w:tcPr>
          <w:p w14:paraId="7E120EF9">
            <w:pPr>
              <w:spacing w:line="360" w:lineRule="auto"/>
              <w:rPr>
                <w:rFonts w:ascii="宋体" w:hAnsi="宋体" w:eastAsia="宋体"/>
                <w:sz w:val="24"/>
                <w:szCs w:val="24"/>
              </w:rPr>
            </w:pPr>
          </w:p>
        </w:tc>
        <w:tc>
          <w:tcPr>
            <w:tcW w:w="1185" w:type="dxa"/>
          </w:tcPr>
          <w:p w14:paraId="4A4DDC62">
            <w:pPr>
              <w:spacing w:line="360" w:lineRule="auto"/>
              <w:rPr>
                <w:rFonts w:ascii="宋体" w:hAnsi="宋体" w:eastAsia="宋体"/>
                <w:sz w:val="24"/>
                <w:szCs w:val="24"/>
              </w:rPr>
            </w:pPr>
          </w:p>
        </w:tc>
        <w:tc>
          <w:tcPr>
            <w:tcW w:w="1185" w:type="dxa"/>
          </w:tcPr>
          <w:p w14:paraId="6006D253">
            <w:pPr>
              <w:spacing w:line="360" w:lineRule="auto"/>
              <w:rPr>
                <w:rFonts w:ascii="宋体" w:hAnsi="宋体" w:eastAsia="宋体"/>
                <w:sz w:val="24"/>
                <w:szCs w:val="24"/>
              </w:rPr>
            </w:pPr>
          </w:p>
        </w:tc>
        <w:tc>
          <w:tcPr>
            <w:tcW w:w="1185" w:type="dxa"/>
          </w:tcPr>
          <w:p w14:paraId="710AF289">
            <w:pPr>
              <w:spacing w:line="360" w:lineRule="auto"/>
              <w:rPr>
                <w:rFonts w:ascii="宋体" w:hAnsi="宋体" w:eastAsia="宋体"/>
                <w:sz w:val="24"/>
                <w:szCs w:val="24"/>
              </w:rPr>
            </w:pPr>
          </w:p>
        </w:tc>
        <w:tc>
          <w:tcPr>
            <w:tcW w:w="1185" w:type="dxa"/>
          </w:tcPr>
          <w:p w14:paraId="762963F5">
            <w:pPr>
              <w:spacing w:line="360" w:lineRule="auto"/>
              <w:rPr>
                <w:rFonts w:ascii="宋体" w:hAnsi="宋体" w:eastAsia="宋体"/>
                <w:sz w:val="24"/>
                <w:szCs w:val="24"/>
              </w:rPr>
            </w:pPr>
          </w:p>
        </w:tc>
      </w:tr>
      <w:tr w14:paraId="4D20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17B17993">
            <w:pPr>
              <w:spacing w:line="360" w:lineRule="auto"/>
              <w:rPr>
                <w:rFonts w:ascii="宋体" w:hAnsi="宋体" w:eastAsia="宋体"/>
                <w:sz w:val="24"/>
                <w:szCs w:val="24"/>
              </w:rPr>
            </w:pPr>
            <w:r>
              <w:rPr>
                <w:rFonts w:hint="eastAsia" w:ascii="宋体" w:hAnsi="宋体" w:eastAsia="宋体"/>
                <w:sz w:val="24"/>
                <w:szCs w:val="24"/>
              </w:rPr>
              <w:t>大量程智能秤</w:t>
            </w:r>
          </w:p>
        </w:tc>
        <w:tc>
          <w:tcPr>
            <w:tcW w:w="1287" w:type="dxa"/>
          </w:tcPr>
          <w:p w14:paraId="7861FEDD">
            <w:pPr>
              <w:spacing w:line="360" w:lineRule="auto"/>
              <w:rPr>
                <w:rFonts w:ascii="宋体" w:hAnsi="宋体" w:eastAsia="宋体"/>
                <w:sz w:val="24"/>
                <w:szCs w:val="24"/>
              </w:rPr>
            </w:pPr>
          </w:p>
        </w:tc>
        <w:tc>
          <w:tcPr>
            <w:tcW w:w="1185" w:type="dxa"/>
          </w:tcPr>
          <w:p w14:paraId="29046220">
            <w:pPr>
              <w:spacing w:line="360" w:lineRule="auto"/>
              <w:rPr>
                <w:rFonts w:ascii="宋体" w:hAnsi="宋体" w:eastAsia="宋体"/>
                <w:sz w:val="24"/>
                <w:szCs w:val="24"/>
              </w:rPr>
            </w:pPr>
          </w:p>
        </w:tc>
        <w:tc>
          <w:tcPr>
            <w:tcW w:w="1185" w:type="dxa"/>
          </w:tcPr>
          <w:p w14:paraId="6A834808">
            <w:pPr>
              <w:spacing w:line="360" w:lineRule="auto"/>
              <w:rPr>
                <w:rFonts w:ascii="宋体" w:hAnsi="宋体" w:eastAsia="宋体"/>
                <w:sz w:val="24"/>
                <w:szCs w:val="24"/>
              </w:rPr>
            </w:pPr>
          </w:p>
        </w:tc>
        <w:tc>
          <w:tcPr>
            <w:tcW w:w="1185" w:type="dxa"/>
          </w:tcPr>
          <w:p w14:paraId="42CC5BF2">
            <w:pPr>
              <w:spacing w:line="360" w:lineRule="auto"/>
              <w:rPr>
                <w:rFonts w:ascii="宋体" w:hAnsi="宋体" w:eastAsia="宋体"/>
                <w:sz w:val="24"/>
                <w:szCs w:val="24"/>
              </w:rPr>
            </w:pPr>
          </w:p>
        </w:tc>
        <w:tc>
          <w:tcPr>
            <w:tcW w:w="1185" w:type="dxa"/>
          </w:tcPr>
          <w:p w14:paraId="63E7E6E7">
            <w:pPr>
              <w:spacing w:line="360" w:lineRule="auto"/>
              <w:rPr>
                <w:rFonts w:ascii="宋体" w:hAnsi="宋体" w:eastAsia="宋体"/>
                <w:sz w:val="24"/>
                <w:szCs w:val="24"/>
              </w:rPr>
            </w:pPr>
          </w:p>
        </w:tc>
      </w:tr>
      <w:tr w14:paraId="1D7D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3FE96FD0">
            <w:pPr>
              <w:spacing w:line="360" w:lineRule="auto"/>
              <w:rPr>
                <w:rFonts w:ascii="宋体" w:hAnsi="宋体" w:eastAsia="宋体"/>
                <w:sz w:val="24"/>
                <w:szCs w:val="24"/>
              </w:rPr>
            </w:pPr>
            <w:r>
              <w:rPr>
                <w:rFonts w:hint="eastAsia" w:ascii="宋体" w:hAnsi="宋体" w:eastAsia="宋体"/>
                <w:sz w:val="24"/>
                <w:szCs w:val="24"/>
              </w:rPr>
              <w:t>小量程智能秤</w:t>
            </w:r>
          </w:p>
        </w:tc>
        <w:tc>
          <w:tcPr>
            <w:tcW w:w="1287" w:type="dxa"/>
          </w:tcPr>
          <w:p w14:paraId="0D3ADC84">
            <w:pPr>
              <w:spacing w:line="360" w:lineRule="auto"/>
              <w:rPr>
                <w:rFonts w:ascii="宋体" w:hAnsi="宋体" w:eastAsia="宋体"/>
                <w:sz w:val="24"/>
                <w:szCs w:val="24"/>
              </w:rPr>
            </w:pPr>
          </w:p>
        </w:tc>
        <w:tc>
          <w:tcPr>
            <w:tcW w:w="1185" w:type="dxa"/>
          </w:tcPr>
          <w:p w14:paraId="7A6A1E02">
            <w:pPr>
              <w:spacing w:line="360" w:lineRule="auto"/>
              <w:rPr>
                <w:rFonts w:ascii="宋体" w:hAnsi="宋体" w:eastAsia="宋体"/>
                <w:sz w:val="24"/>
                <w:szCs w:val="24"/>
              </w:rPr>
            </w:pPr>
          </w:p>
        </w:tc>
        <w:tc>
          <w:tcPr>
            <w:tcW w:w="1185" w:type="dxa"/>
          </w:tcPr>
          <w:p w14:paraId="0F334216">
            <w:pPr>
              <w:spacing w:line="360" w:lineRule="auto"/>
              <w:rPr>
                <w:rFonts w:ascii="宋体" w:hAnsi="宋体" w:eastAsia="宋体"/>
                <w:sz w:val="24"/>
                <w:szCs w:val="24"/>
              </w:rPr>
            </w:pPr>
          </w:p>
        </w:tc>
        <w:tc>
          <w:tcPr>
            <w:tcW w:w="1185" w:type="dxa"/>
          </w:tcPr>
          <w:p w14:paraId="0788FFA1">
            <w:pPr>
              <w:spacing w:line="360" w:lineRule="auto"/>
              <w:rPr>
                <w:rFonts w:ascii="宋体" w:hAnsi="宋体" w:eastAsia="宋体"/>
                <w:sz w:val="24"/>
                <w:szCs w:val="24"/>
              </w:rPr>
            </w:pPr>
          </w:p>
        </w:tc>
        <w:tc>
          <w:tcPr>
            <w:tcW w:w="1185" w:type="dxa"/>
          </w:tcPr>
          <w:p w14:paraId="69D890EC">
            <w:pPr>
              <w:spacing w:line="360" w:lineRule="auto"/>
              <w:rPr>
                <w:rFonts w:ascii="宋体" w:hAnsi="宋体" w:eastAsia="宋体"/>
                <w:sz w:val="24"/>
                <w:szCs w:val="24"/>
              </w:rPr>
            </w:pPr>
          </w:p>
        </w:tc>
      </w:tr>
      <w:tr w14:paraId="6D75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1A4571B9">
            <w:pPr>
              <w:spacing w:line="360" w:lineRule="auto"/>
              <w:rPr>
                <w:rFonts w:ascii="宋体" w:hAnsi="宋体" w:eastAsia="宋体"/>
                <w:sz w:val="24"/>
                <w:szCs w:val="24"/>
              </w:rPr>
            </w:pPr>
            <w:r>
              <w:rPr>
                <w:rFonts w:hint="eastAsia" w:ascii="宋体" w:hAnsi="宋体" w:eastAsia="宋体"/>
                <w:sz w:val="24"/>
                <w:szCs w:val="24"/>
              </w:rPr>
              <w:t>日常耗材</w:t>
            </w:r>
          </w:p>
        </w:tc>
        <w:tc>
          <w:tcPr>
            <w:tcW w:w="1287" w:type="dxa"/>
          </w:tcPr>
          <w:p w14:paraId="7E3AD67A">
            <w:pPr>
              <w:spacing w:line="360" w:lineRule="auto"/>
              <w:rPr>
                <w:rFonts w:ascii="宋体" w:hAnsi="宋体" w:eastAsia="宋体"/>
                <w:sz w:val="24"/>
                <w:szCs w:val="24"/>
              </w:rPr>
            </w:pPr>
          </w:p>
        </w:tc>
        <w:tc>
          <w:tcPr>
            <w:tcW w:w="1185" w:type="dxa"/>
          </w:tcPr>
          <w:p w14:paraId="21258BD3">
            <w:pPr>
              <w:spacing w:line="360" w:lineRule="auto"/>
              <w:rPr>
                <w:rFonts w:ascii="宋体" w:hAnsi="宋体" w:eastAsia="宋体"/>
                <w:sz w:val="24"/>
                <w:szCs w:val="24"/>
              </w:rPr>
            </w:pPr>
          </w:p>
        </w:tc>
        <w:tc>
          <w:tcPr>
            <w:tcW w:w="1185" w:type="dxa"/>
          </w:tcPr>
          <w:p w14:paraId="68A1ABA4">
            <w:pPr>
              <w:spacing w:line="360" w:lineRule="auto"/>
              <w:rPr>
                <w:rFonts w:ascii="宋体" w:hAnsi="宋体" w:eastAsia="宋体"/>
                <w:sz w:val="24"/>
                <w:szCs w:val="24"/>
              </w:rPr>
            </w:pPr>
          </w:p>
        </w:tc>
        <w:tc>
          <w:tcPr>
            <w:tcW w:w="1185" w:type="dxa"/>
          </w:tcPr>
          <w:p w14:paraId="2CC6586E">
            <w:pPr>
              <w:spacing w:line="360" w:lineRule="auto"/>
              <w:rPr>
                <w:rFonts w:ascii="宋体" w:hAnsi="宋体" w:eastAsia="宋体"/>
                <w:sz w:val="24"/>
                <w:szCs w:val="24"/>
              </w:rPr>
            </w:pPr>
          </w:p>
        </w:tc>
        <w:tc>
          <w:tcPr>
            <w:tcW w:w="1185" w:type="dxa"/>
          </w:tcPr>
          <w:p w14:paraId="209CBB7D">
            <w:pPr>
              <w:spacing w:line="360" w:lineRule="auto"/>
              <w:rPr>
                <w:rFonts w:ascii="宋体" w:hAnsi="宋体" w:eastAsia="宋体"/>
                <w:sz w:val="24"/>
                <w:szCs w:val="24"/>
              </w:rPr>
            </w:pPr>
          </w:p>
        </w:tc>
      </w:tr>
      <w:tr w14:paraId="61FE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0BE528CE">
            <w:pPr>
              <w:spacing w:line="360" w:lineRule="auto"/>
              <w:rPr>
                <w:rFonts w:ascii="宋体" w:hAnsi="宋体" w:eastAsia="宋体"/>
                <w:sz w:val="24"/>
                <w:szCs w:val="24"/>
              </w:rPr>
            </w:pPr>
            <w:r>
              <w:rPr>
                <w:rFonts w:hint="eastAsia" w:ascii="宋体" w:hAnsi="宋体" w:eastAsia="宋体"/>
                <w:sz w:val="24"/>
                <w:szCs w:val="24"/>
              </w:rPr>
              <w:t>装修材料</w:t>
            </w:r>
          </w:p>
        </w:tc>
        <w:tc>
          <w:tcPr>
            <w:tcW w:w="1287" w:type="dxa"/>
          </w:tcPr>
          <w:p w14:paraId="21A909D5">
            <w:pPr>
              <w:spacing w:line="360" w:lineRule="auto"/>
              <w:rPr>
                <w:rFonts w:ascii="宋体" w:hAnsi="宋体" w:eastAsia="宋体"/>
                <w:sz w:val="24"/>
                <w:szCs w:val="24"/>
              </w:rPr>
            </w:pPr>
          </w:p>
        </w:tc>
        <w:tc>
          <w:tcPr>
            <w:tcW w:w="1185" w:type="dxa"/>
          </w:tcPr>
          <w:p w14:paraId="38E089E8">
            <w:pPr>
              <w:spacing w:line="360" w:lineRule="auto"/>
              <w:rPr>
                <w:rFonts w:ascii="宋体" w:hAnsi="宋体" w:eastAsia="宋体"/>
                <w:sz w:val="24"/>
                <w:szCs w:val="24"/>
              </w:rPr>
            </w:pPr>
          </w:p>
        </w:tc>
        <w:tc>
          <w:tcPr>
            <w:tcW w:w="1185" w:type="dxa"/>
          </w:tcPr>
          <w:p w14:paraId="58CCBEF2">
            <w:pPr>
              <w:spacing w:line="360" w:lineRule="auto"/>
              <w:rPr>
                <w:rFonts w:ascii="宋体" w:hAnsi="宋体" w:eastAsia="宋体"/>
                <w:sz w:val="24"/>
                <w:szCs w:val="24"/>
              </w:rPr>
            </w:pPr>
          </w:p>
        </w:tc>
        <w:tc>
          <w:tcPr>
            <w:tcW w:w="1185" w:type="dxa"/>
          </w:tcPr>
          <w:p w14:paraId="5CC06B33">
            <w:pPr>
              <w:spacing w:line="360" w:lineRule="auto"/>
              <w:rPr>
                <w:rFonts w:ascii="宋体" w:hAnsi="宋体" w:eastAsia="宋体"/>
                <w:sz w:val="24"/>
                <w:szCs w:val="24"/>
              </w:rPr>
            </w:pPr>
          </w:p>
        </w:tc>
        <w:tc>
          <w:tcPr>
            <w:tcW w:w="1185" w:type="dxa"/>
          </w:tcPr>
          <w:p w14:paraId="6B4DD07A">
            <w:pPr>
              <w:spacing w:line="360" w:lineRule="auto"/>
              <w:rPr>
                <w:rFonts w:ascii="宋体" w:hAnsi="宋体" w:eastAsia="宋体"/>
                <w:sz w:val="24"/>
                <w:szCs w:val="24"/>
              </w:rPr>
            </w:pPr>
          </w:p>
        </w:tc>
      </w:tr>
      <w:tr w14:paraId="4E70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3F399D83">
            <w:pPr>
              <w:spacing w:line="360" w:lineRule="auto"/>
              <w:rPr>
                <w:rFonts w:ascii="宋体" w:hAnsi="宋体" w:eastAsia="宋体"/>
                <w:sz w:val="24"/>
                <w:szCs w:val="24"/>
              </w:rPr>
            </w:pPr>
            <w:r>
              <w:rPr>
                <w:rFonts w:hint="eastAsia" w:ascii="宋体" w:hAnsi="宋体" w:eastAsia="宋体"/>
                <w:sz w:val="24"/>
                <w:szCs w:val="24"/>
              </w:rPr>
              <w:t>安装材料</w:t>
            </w:r>
          </w:p>
        </w:tc>
        <w:tc>
          <w:tcPr>
            <w:tcW w:w="1287" w:type="dxa"/>
          </w:tcPr>
          <w:p w14:paraId="5AA52C5B">
            <w:pPr>
              <w:spacing w:line="360" w:lineRule="auto"/>
              <w:rPr>
                <w:rFonts w:ascii="宋体" w:hAnsi="宋体" w:eastAsia="宋体"/>
                <w:sz w:val="24"/>
                <w:szCs w:val="24"/>
              </w:rPr>
            </w:pPr>
          </w:p>
        </w:tc>
        <w:tc>
          <w:tcPr>
            <w:tcW w:w="1185" w:type="dxa"/>
          </w:tcPr>
          <w:p w14:paraId="493BE53A">
            <w:pPr>
              <w:spacing w:line="360" w:lineRule="auto"/>
              <w:rPr>
                <w:rFonts w:ascii="宋体" w:hAnsi="宋体" w:eastAsia="宋体"/>
                <w:sz w:val="24"/>
                <w:szCs w:val="24"/>
              </w:rPr>
            </w:pPr>
          </w:p>
        </w:tc>
        <w:tc>
          <w:tcPr>
            <w:tcW w:w="1185" w:type="dxa"/>
          </w:tcPr>
          <w:p w14:paraId="0721A2D6">
            <w:pPr>
              <w:spacing w:line="360" w:lineRule="auto"/>
              <w:rPr>
                <w:rFonts w:ascii="宋体" w:hAnsi="宋体" w:eastAsia="宋体"/>
                <w:sz w:val="24"/>
                <w:szCs w:val="24"/>
              </w:rPr>
            </w:pPr>
          </w:p>
        </w:tc>
        <w:tc>
          <w:tcPr>
            <w:tcW w:w="1185" w:type="dxa"/>
          </w:tcPr>
          <w:p w14:paraId="58D4F194">
            <w:pPr>
              <w:spacing w:line="360" w:lineRule="auto"/>
              <w:rPr>
                <w:rFonts w:ascii="宋体" w:hAnsi="宋体" w:eastAsia="宋体"/>
                <w:sz w:val="24"/>
                <w:szCs w:val="24"/>
              </w:rPr>
            </w:pPr>
          </w:p>
        </w:tc>
        <w:tc>
          <w:tcPr>
            <w:tcW w:w="1185" w:type="dxa"/>
          </w:tcPr>
          <w:p w14:paraId="62B8DA62">
            <w:pPr>
              <w:spacing w:line="360" w:lineRule="auto"/>
              <w:rPr>
                <w:rFonts w:ascii="宋体" w:hAnsi="宋体" w:eastAsia="宋体"/>
                <w:sz w:val="24"/>
                <w:szCs w:val="24"/>
              </w:rPr>
            </w:pPr>
          </w:p>
        </w:tc>
      </w:tr>
      <w:tr w14:paraId="7EC3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6FC7025E">
            <w:pPr>
              <w:spacing w:line="360" w:lineRule="auto"/>
              <w:rPr>
                <w:rFonts w:ascii="宋体" w:hAnsi="宋体" w:eastAsia="宋体"/>
                <w:sz w:val="24"/>
                <w:szCs w:val="24"/>
              </w:rPr>
            </w:pPr>
            <w:r>
              <w:rPr>
                <w:rFonts w:hint="eastAsia" w:ascii="宋体" w:hAnsi="宋体" w:eastAsia="宋体"/>
                <w:sz w:val="24"/>
                <w:szCs w:val="24"/>
                <w:lang w:eastAsia="zh-CN"/>
              </w:rPr>
              <w:t>其他</w:t>
            </w:r>
            <w:r>
              <w:rPr>
                <w:rFonts w:hint="eastAsia" w:ascii="宋体" w:hAnsi="宋体" w:eastAsia="宋体"/>
                <w:sz w:val="24"/>
                <w:szCs w:val="24"/>
              </w:rPr>
              <w:t>辅材</w:t>
            </w:r>
          </w:p>
        </w:tc>
        <w:tc>
          <w:tcPr>
            <w:tcW w:w="1287" w:type="dxa"/>
          </w:tcPr>
          <w:p w14:paraId="3F1364C9">
            <w:pPr>
              <w:spacing w:line="360" w:lineRule="auto"/>
              <w:rPr>
                <w:rFonts w:ascii="宋体" w:hAnsi="宋体" w:eastAsia="宋体"/>
                <w:sz w:val="24"/>
                <w:szCs w:val="24"/>
              </w:rPr>
            </w:pPr>
          </w:p>
        </w:tc>
        <w:tc>
          <w:tcPr>
            <w:tcW w:w="1185" w:type="dxa"/>
          </w:tcPr>
          <w:p w14:paraId="13A7B7BB">
            <w:pPr>
              <w:spacing w:line="360" w:lineRule="auto"/>
              <w:rPr>
                <w:rFonts w:ascii="宋体" w:hAnsi="宋体" w:eastAsia="宋体"/>
                <w:sz w:val="24"/>
                <w:szCs w:val="24"/>
              </w:rPr>
            </w:pPr>
          </w:p>
        </w:tc>
        <w:tc>
          <w:tcPr>
            <w:tcW w:w="1185" w:type="dxa"/>
          </w:tcPr>
          <w:p w14:paraId="09C1CF91">
            <w:pPr>
              <w:spacing w:line="360" w:lineRule="auto"/>
              <w:rPr>
                <w:rFonts w:ascii="宋体" w:hAnsi="宋体" w:eastAsia="宋体"/>
                <w:sz w:val="24"/>
                <w:szCs w:val="24"/>
              </w:rPr>
            </w:pPr>
          </w:p>
        </w:tc>
        <w:tc>
          <w:tcPr>
            <w:tcW w:w="1185" w:type="dxa"/>
          </w:tcPr>
          <w:p w14:paraId="49A3AA37">
            <w:pPr>
              <w:spacing w:line="360" w:lineRule="auto"/>
              <w:rPr>
                <w:rFonts w:ascii="宋体" w:hAnsi="宋体" w:eastAsia="宋体"/>
                <w:sz w:val="24"/>
                <w:szCs w:val="24"/>
              </w:rPr>
            </w:pPr>
          </w:p>
        </w:tc>
        <w:tc>
          <w:tcPr>
            <w:tcW w:w="1185" w:type="dxa"/>
          </w:tcPr>
          <w:p w14:paraId="5624F384">
            <w:pPr>
              <w:spacing w:line="360" w:lineRule="auto"/>
              <w:rPr>
                <w:rFonts w:ascii="宋体" w:hAnsi="宋体" w:eastAsia="宋体"/>
                <w:sz w:val="24"/>
                <w:szCs w:val="24"/>
              </w:rPr>
            </w:pPr>
          </w:p>
        </w:tc>
      </w:tr>
      <w:tr w14:paraId="182A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04ED7989">
            <w:pPr>
              <w:spacing w:line="360" w:lineRule="auto"/>
              <w:rPr>
                <w:rFonts w:ascii="宋体" w:hAnsi="宋体" w:eastAsia="宋体"/>
                <w:sz w:val="24"/>
                <w:szCs w:val="24"/>
              </w:rPr>
            </w:pPr>
            <w:r>
              <w:rPr>
                <w:rFonts w:hint="eastAsia" w:ascii="宋体" w:hAnsi="宋体" w:eastAsia="宋体"/>
                <w:sz w:val="24"/>
                <w:szCs w:val="24"/>
              </w:rPr>
              <w:t>安装调试费</w:t>
            </w:r>
          </w:p>
        </w:tc>
        <w:tc>
          <w:tcPr>
            <w:tcW w:w="1287" w:type="dxa"/>
          </w:tcPr>
          <w:p w14:paraId="2ABE6F8B">
            <w:pPr>
              <w:spacing w:line="360" w:lineRule="auto"/>
              <w:rPr>
                <w:rFonts w:ascii="宋体" w:hAnsi="宋体" w:eastAsia="宋体"/>
                <w:sz w:val="24"/>
                <w:szCs w:val="24"/>
              </w:rPr>
            </w:pPr>
          </w:p>
        </w:tc>
        <w:tc>
          <w:tcPr>
            <w:tcW w:w="1185" w:type="dxa"/>
          </w:tcPr>
          <w:p w14:paraId="641883FF">
            <w:pPr>
              <w:spacing w:line="360" w:lineRule="auto"/>
              <w:rPr>
                <w:rFonts w:ascii="宋体" w:hAnsi="宋体" w:eastAsia="宋体"/>
                <w:sz w:val="24"/>
                <w:szCs w:val="24"/>
              </w:rPr>
            </w:pPr>
          </w:p>
        </w:tc>
        <w:tc>
          <w:tcPr>
            <w:tcW w:w="1185" w:type="dxa"/>
          </w:tcPr>
          <w:p w14:paraId="1DAAC3B0">
            <w:pPr>
              <w:spacing w:line="360" w:lineRule="auto"/>
              <w:rPr>
                <w:rFonts w:ascii="宋体" w:hAnsi="宋体" w:eastAsia="宋体"/>
                <w:sz w:val="24"/>
                <w:szCs w:val="24"/>
              </w:rPr>
            </w:pPr>
          </w:p>
        </w:tc>
        <w:tc>
          <w:tcPr>
            <w:tcW w:w="1185" w:type="dxa"/>
          </w:tcPr>
          <w:p w14:paraId="4C51CFDB">
            <w:pPr>
              <w:spacing w:line="360" w:lineRule="auto"/>
              <w:rPr>
                <w:rFonts w:ascii="宋体" w:hAnsi="宋体" w:eastAsia="宋体"/>
                <w:sz w:val="24"/>
                <w:szCs w:val="24"/>
              </w:rPr>
            </w:pPr>
          </w:p>
        </w:tc>
        <w:tc>
          <w:tcPr>
            <w:tcW w:w="1185" w:type="dxa"/>
          </w:tcPr>
          <w:p w14:paraId="524E9C4A">
            <w:pPr>
              <w:spacing w:line="360" w:lineRule="auto"/>
              <w:rPr>
                <w:rFonts w:ascii="宋体" w:hAnsi="宋体" w:eastAsia="宋体"/>
                <w:sz w:val="24"/>
                <w:szCs w:val="24"/>
              </w:rPr>
            </w:pPr>
          </w:p>
        </w:tc>
      </w:tr>
      <w:bookmarkEnd w:id="14"/>
    </w:tbl>
    <w:p w14:paraId="0C7A838D">
      <w:pPr>
        <w:spacing w:line="360" w:lineRule="auto"/>
        <w:ind w:firstLine="480" w:firstLineChars="200"/>
        <w:rPr>
          <w:rFonts w:ascii="宋体" w:hAnsi="宋体" w:eastAsia="宋体"/>
          <w:sz w:val="24"/>
          <w:szCs w:val="24"/>
        </w:rPr>
      </w:pPr>
      <w:r>
        <w:rPr>
          <w:rFonts w:hint="eastAsia" w:ascii="宋体" w:hAnsi="宋体" w:eastAsia="宋体"/>
          <w:sz w:val="24"/>
          <w:szCs w:val="24"/>
        </w:rPr>
        <w:t>另须报</w:t>
      </w:r>
      <w:r>
        <w:rPr>
          <w:rFonts w:ascii="宋体" w:hAnsi="宋体" w:eastAsia="宋体"/>
          <w:sz w:val="24"/>
          <w:szCs w:val="24"/>
        </w:rPr>
        <w:t>后期年度信息服务费（含设备维护、软件升级、系统对接运维、增值税），</w:t>
      </w:r>
      <w:r>
        <w:rPr>
          <w:rFonts w:hint="eastAsia" w:ascii="宋体" w:hAnsi="宋体" w:eastAsia="宋体"/>
          <w:sz w:val="24"/>
          <w:szCs w:val="24"/>
        </w:rPr>
        <w:t>3年</w:t>
      </w:r>
      <w:r>
        <w:rPr>
          <w:rFonts w:ascii="宋体" w:hAnsi="宋体" w:eastAsia="宋体"/>
          <w:sz w:val="24"/>
          <w:szCs w:val="24"/>
        </w:rPr>
        <w:t>质保期内免费</w:t>
      </w:r>
      <w:r>
        <w:rPr>
          <w:rFonts w:hint="eastAsia" w:ascii="宋体" w:hAnsi="宋体" w:eastAsia="宋体"/>
          <w:sz w:val="24"/>
          <w:szCs w:val="24"/>
        </w:rPr>
        <w:t>维护</w:t>
      </w:r>
      <w:r>
        <w:rPr>
          <w:rFonts w:ascii="宋体" w:hAnsi="宋体" w:eastAsia="宋体"/>
          <w:sz w:val="24"/>
          <w:szCs w:val="24"/>
        </w:rPr>
        <w:t>。</w:t>
      </w:r>
      <w:r>
        <w:rPr>
          <w:rFonts w:hint="eastAsia" w:ascii="宋体" w:hAnsi="宋体" w:eastAsia="宋体"/>
          <w:sz w:val="24"/>
          <w:szCs w:val="24"/>
        </w:rPr>
        <w:t>耗材（如标签纸、碳带等）须单独报单价，可按需采购。安装用到的线缆需镀锌管穿管布线，选用铜芯电缆。</w:t>
      </w:r>
    </w:p>
    <w:p w14:paraId="18A05D82">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调试/验收/培训</w:t>
      </w:r>
    </w:p>
    <w:p w14:paraId="236B9742">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设备安装完成后，投标人应进行不少于24小时的连续试运</w:t>
      </w:r>
    </w:p>
    <w:p w14:paraId="3597ACA0">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行，并记录运行日志。</w:t>
      </w:r>
    </w:p>
    <w:p w14:paraId="530DCEAA">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验收由昆纤公司组织，投标人配合。验收内容包括：设备外</w:t>
      </w:r>
    </w:p>
    <w:p w14:paraId="2839B142">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观及安装质量检查；功能测试（称重、打印、扫码、入库、出库、台账生成、数据上传）；与国网系统数据对接成功证明（可提供测试报文或系统截图）；操作人员现场培训考核通过。</w:t>
      </w:r>
    </w:p>
    <w:p w14:paraId="726F20FF">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验收合格后双方签署《设备验收报告》。</w:t>
      </w:r>
    </w:p>
    <w:p w14:paraId="700295C3">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竣工资料/图纸、施工记录等</w:t>
      </w:r>
    </w:p>
    <w:p w14:paraId="4A6BA27D">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投标人须在验收后5个工作日内提交以下资料（纸质版+电</w:t>
      </w:r>
    </w:p>
    <w:p w14:paraId="46D245B0">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子版）：</w:t>
      </w:r>
    </w:p>
    <w:p w14:paraId="509A722B">
      <w:pPr>
        <w:spacing w:line="276" w:lineRule="auto"/>
        <w:ind w:left="282" w:hanging="282" w:hangingChars="94"/>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1）</w:t>
      </w:r>
      <w:r>
        <w:rPr>
          <w:rFonts w:hint="eastAsia" w:ascii="仿宋_GB2312" w:hAnsi="仿宋_GB2312" w:eastAsia="仿宋_GB2312" w:cs="仿宋_GB2312"/>
          <w:sz w:val="30"/>
          <w:szCs w:val="30"/>
        </w:rPr>
        <w:t>竣工图纸（含设备配置、布局、布线走向）；</w:t>
      </w:r>
    </w:p>
    <w:p w14:paraId="5DA267D9">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2）</w:t>
      </w:r>
      <w:r>
        <w:rPr>
          <w:rFonts w:hint="eastAsia" w:ascii="仿宋_GB2312" w:hAnsi="仿宋_GB2312" w:eastAsia="仿宋_GB2312" w:cs="仿宋_GB2312"/>
          <w:sz w:val="30"/>
          <w:szCs w:val="30"/>
        </w:rPr>
        <w:t>设备安装调试记录；</w:t>
      </w:r>
    </w:p>
    <w:p w14:paraId="7FE5FE6F">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3）</w:t>
      </w:r>
      <w:r>
        <w:rPr>
          <w:rFonts w:hint="eastAsia" w:ascii="仿宋_GB2312" w:hAnsi="仿宋_GB2312" w:eastAsia="仿宋_GB2312" w:cs="仿宋_GB2312"/>
          <w:sz w:val="30"/>
          <w:szCs w:val="30"/>
        </w:rPr>
        <w:t>设备操作手册（中文版）；</w:t>
      </w:r>
    </w:p>
    <w:p w14:paraId="263EE5CC">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维护保养手册；</w:t>
      </w:r>
    </w:p>
    <w:p w14:paraId="3BC70472">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5）</w:t>
      </w:r>
      <w:r>
        <w:rPr>
          <w:rFonts w:hint="eastAsia" w:ascii="仿宋_GB2312" w:hAnsi="仿宋_GB2312" w:eastAsia="仿宋_GB2312" w:cs="仿宋_GB2312"/>
          <w:sz w:val="30"/>
          <w:szCs w:val="30"/>
        </w:rPr>
        <w:t>合格证、校准证书原件；</w:t>
      </w:r>
    </w:p>
    <w:p w14:paraId="6D846103">
      <w:pPr>
        <w:spacing w:line="276"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6）</w:t>
      </w:r>
      <w:r>
        <w:rPr>
          <w:rFonts w:hint="eastAsia" w:ascii="仿宋_GB2312" w:hAnsi="仿宋_GB2312" w:eastAsia="仿宋_GB2312" w:cs="仿宋_GB2312"/>
          <w:sz w:val="30"/>
          <w:szCs w:val="30"/>
        </w:rPr>
        <w:t>与国网系统对接的技术说明文档。</w:t>
      </w:r>
    </w:p>
    <w:p w14:paraId="666C1B92">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质保</w:t>
      </w:r>
    </w:p>
    <w:p w14:paraId="4D7A28C2">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设备质保期自验收合格之日起至少3年。</w:t>
      </w:r>
    </w:p>
    <w:p w14:paraId="2515C8BE">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质保期内因非甲方人为原因造成的设备故障</w:t>
      </w:r>
      <w:r>
        <w:rPr>
          <w:rFonts w:hint="eastAsia" w:ascii="仿宋_GB2312" w:hAnsi="仿宋_GB2312" w:eastAsia="仿宋_GB2312" w:cs="仿宋_GB2312"/>
          <w:sz w:val="30"/>
          <w:szCs w:val="30"/>
          <w:lang w:eastAsia="zh-CN"/>
        </w:rPr>
        <w:t>，由</w:t>
      </w:r>
      <w:r>
        <w:rPr>
          <w:rFonts w:hint="eastAsia" w:ascii="仿宋_GB2312" w:hAnsi="仿宋_GB2312" w:eastAsia="仿宋_GB2312" w:cs="仿宋_GB2312"/>
          <w:sz w:val="30"/>
          <w:szCs w:val="30"/>
        </w:rPr>
        <w:t>投标人负责</w:t>
      </w:r>
    </w:p>
    <w:p w14:paraId="420C8FA8">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免费维修或更换零部件，往返运费由投标人承担。</w:t>
      </w:r>
    </w:p>
    <w:p w14:paraId="3274D8E3">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服务响应要求：7×24小时在线响应，接到故障报修后2</w:t>
      </w:r>
    </w:p>
    <w:p w14:paraId="129ACBC3">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小时内到场处理；</w:t>
      </w:r>
    </w:p>
    <w:p w14:paraId="4D6452CE">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质保期后，投标人应提供有偿维修服务，仅收取成本费用</w:t>
      </w:r>
    </w:p>
    <w:p w14:paraId="68893068">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（须在报价中列明备件价格清单）。</w:t>
      </w:r>
    </w:p>
    <w:p w14:paraId="2CC8788F">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承包商资质和其他要求</w:t>
      </w:r>
    </w:p>
    <w:p w14:paraId="59E22748">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投标人须为中华人民共和国境内注册的独立法人，</w:t>
      </w:r>
      <w:bookmarkStart w:id="17" w:name="_GoBack"/>
      <w:r>
        <w:rPr>
          <w:rFonts w:hint="eastAsia" w:ascii="仿宋_GB2312" w:hAnsi="仿宋_GB2312" w:eastAsia="仿宋_GB2312" w:cs="仿宋_GB2312"/>
          <w:sz w:val="30"/>
          <w:szCs w:val="30"/>
          <w:lang w:eastAsia="zh-CN"/>
        </w:rPr>
        <w:t>持有</w:t>
      </w:r>
      <w:bookmarkEnd w:id="17"/>
    </w:p>
    <w:p w14:paraId="40A082E2">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效的营业执照，经营范围包含物联网设备或环保技术开发。</w:t>
      </w:r>
    </w:p>
    <w:p w14:paraId="556AB96B">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投标人须提供近三年内（自本文件发布之日起倒算）至少</w:t>
      </w:r>
    </w:p>
    <w:p w14:paraId="1457A5AA">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2个类似危废智能化项目案例（提供合同复印件及验收证明）。</w:t>
      </w:r>
    </w:p>
    <w:p w14:paraId="33798EED">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投标人须具备与“全国危险废物全过程环境管理信息系统”</w:t>
      </w:r>
    </w:p>
    <w:p w14:paraId="26D3771A">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成功对接的证明（如接口开发合同、系统承建方授权或已完成对接的客户案例）。</w:t>
      </w:r>
    </w:p>
    <w:p w14:paraId="22FF8BA1">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安全要求</w:t>
      </w:r>
    </w:p>
    <w:p w14:paraId="303D7461">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危废暂存间内可能存在易燃、腐蚀性物质，所有设备及线</w:t>
      </w:r>
    </w:p>
    <w:p w14:paraId="3992F43C">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路必须符合防爆、防腐蚀要求（特殊区域按昆纤公司安环部门要求执行）。</w:t>
      </w:r>
    </w:p>
    <w:p w14:paraId="1CBD56B8">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施工前必须办理昆纤公司内部动火、用电、登高、动土等</w:t>
      </w:r>
    </w:p>
    <w:p w14:paraId="1DC7EE4C">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相关作业票证，施工人员须接受入场安全培训。</w:t>
      </w:r>
    </w:p>
    <w:p w14:paraId="09B70EE8">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施工期间严禁在危废间内吸烟、使用明火，正确穿戴符合</w:t>
      </w:r>
    </w:p>
    <w:p w14:paraId="60D10DC5">
      <w:pPr>
        <w:pStyle w:val="9"/>
        <w:spacing w:line="276" w:lineRule="auto"/>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安全要求的劳保用品。</w:t>
      </w:r>
    </w:p>
    <w:p w14:paraId="70776E9D">
      <w:pPr>
        <w:pStyle w:val="9"/>
        <w:numPr>
          <w:ilvl w:val="0"/>
          <w:numId w:val="1"/>
        </w:numPr>
        <w:spacing w:line="276" w:lineRule="auto"/>
        <w:ind w:left="0" w:firstLine="0" w:firstLineChars="0"/>
        <w:rPr>
          <w:rFonts w:ascii="宋体" w:hAnsi="宋体" w:eastAsia="宋体"/>
          <w:b/>
          <w:sz w:val="30"/>
          <w:szCs w:val="30"/>
        </w:rPr>
      </w:pPr>
      <w:r>
        <w:rPr>
          <w:rFonts w:hint="eastAsia" w:ascii="宋体" w:hAnsi="宋体" w:eastAsia="宋体"/>
          <w:b/>
          <w:sz w:val="30"/>
          <w:szCs w:val="30"/>
        </w:rPr>
        <w:t>附件</w:t>
      </w:r>
    </w:p>
    <w:bookmarkEnd w:id="1"/>
    <w:p w14:paraId="2D9F98BB">
      <w:pPr>
        <w:pStyle w:val="9"/>
        <w:numPr>
          <w:ilvl w:val="1"/>
          <w:numId w:val="2"/>
        </w:numPr>
        <w:spacing w:line="276" w:lineRule="auto"/>
        <w:ind w:hanging="777"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昆纤承包商入厂作业基本安全要求</w:t>
      </w:r>
    </w:p>
    <w:p w14:paraId="11E3E6E6">
      <w:pPr>
        <w:spacing w:line="276" w:lineRule="auto"/>
        <w:rPr>
          <w:rFonts w:ascii="宋体" w:hAnsi="宋体" w:eastAsia="宋体"/>
          <w:sz w:val="18"/>
          <w:szCs w:val="18"/>
        </w:rPr>
      </w:pPr>
      <w:r>
        <w:rPr>
          <w:rFonts w:hint="eastAsia" w:ascii="宋体" w:hAnsi="宋体" w:eastAsia="宋体"/>
          <w:sz w:val="18"/>
          <w:szCs w:val="18"/>
        </w:rPr>
        <w:object>
          <v:shape id="_x0000_i1025" o:spt="75" type="#_x0000_t75" style="height:51.6pt;width:75pt;" o:ole="t" filled="f" o:preferrelative="t" stroked="f" coordsize="21600,21600">
            <v:path/>
            <v:fill on="f" focussize="0,0"/>
            <v:stroke on="f" joinstyle="miter"/>
            <v:imagedata r:id="rId5" o:title=""/>
            <o:lock v:ext="edit" aspectratio="t"/>
            <w10:wrap type="none"/>
            <w10:anchorlock/>
          </v:shape>
          <o:OLEObject Type="Embed" ProgID="Word.Document.8" ShapeID="_x0000_i1025" DrawAspect="Icon" ObjectID="_1468075725" r:id="rId4">
            <o:LockedField>false</o:LockedField>
          </o:OLEObject>
        </w:object>
      </w:r>
      <w:bookmarkStart w:id="15" w:name="OLE_LINK4"/>
      <w:bookmarkStart w:id="16" w:name="OLE_LINK5"/>
    </w:p>
    <w:bookmarkEnd w:id="2"/>
    <w:bookmarkEnd w:id="15"/>
    <w:bookmarkEnd w:id="16"/>
    <w:p w14:paraId="3C51B4B3">
      <w:pPr>
        <w:spacing w:line="276" w:lineRule="auto"/>
        <w:rPr>
          <w:rFonts w:ascii="宋体" w:hAnsi="宋体" w:eastAsia="宋体"/>
          <w:sz w:val="18"/>
          <w:szCs w:val="18"/>
        </w:rPr>
      </w:pPr>
    </w:p>
    <w:p w14:paraId="3C548F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5841D8"/>
    <w:multiLevelType w:val="multilevel"/>
    <w:tmpl w:val="6F5841D8"/>
    <w:lvl w:ilvl="0" w:tentative="0">
      <w:start w:val="1"/>
      <w:numFmt w:val="decimal"/>
      <w:suff w:val="nothing"/>
      <w:lvlText w:val="%1."/>
      <w:lvlJc w:val="left"/>
      <w:pPr>
        <w:ind w:left="425" w:hanging="425"/>
      </w:pPr>
      <w:rPr>
        <w:rFonts w:hint="eastAsia"/>
        <w:spacing w:val="-14"/>
        <w:kern w:val="0"/>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0"/>
  </w:num>
  <w:num w:numId="2">
    <w:abstractNumId w:val="0"/>
    <w:lvlOverride w:ilvl="0">
      <w:lvl w:ilvl="0" w:tentative="1">
        <w:start w:val="1"/>
        <w:numFmt w:val="decimal"/>
        <w:suff w:val="nothing"/>
        <w:lvlText w:val="%1."/>
        <w:lvlJc w:val="left"/>
        <w:pPr>
          <w:ind w:left="425" w:hanging="425"/>
        </w:pPr>
        <w:rPr>
          <w:rFonts w:hint="eastAsia"/>
        </w:rPr>
      </w:lvl>
    </w:lvlOverride>
    <w:lvlOverride w:ilvl="1">
      <w:lvl w:ilvl="1" w:tentative="1">
        <w:start w:val="1"/>
        <w:numFmt w:val="decimal"/>
        <w:suff w:val="nothing"/>
        <w:lvlText w:val="%1.%2."/>
        <w:lvlJc w:val="left"/>
        <w:pPr>
          <w:ind w:left="777" w:hanging="567"/>
        </w:pPr>
        <w:rPr>
          <w:rFonts w:hint="eastAsia"/>
          <w:b w:val="0"/>
        </w:rPr>
      </w:lvl>
    </w:lvlOverride>
    <w:lvlOverride w:ilvl="2">
      <w:lvl w:ilvl="2" w:tentative="1">
        <w:start w:val="1"/>
        <w:numFmt w:val="decimal"/>
        <w:lvlText w:val="%1.%2.%3."/>
        <w:lvlJc w:val="left"/>
        <w:pPr>
          <w:ind w:left="709" w:hanging="709"/>
        </w:pPr>
        <w:rPr>
          <w:rFonts w:hint="eastAsia"/>
        </w:rPr>
      </w:lvl>
    </w:lvlOverride>
    <w:lvlOverride w:ilvl="3">
      <w:lvl w:ilvl="3" w:tentative="1">
        <w:start w:val="1"/>
        <w:numFmt w:val="decimal"/>
        <w:lvlText w:val="%1.%2.%3.%4."/>
        <w:lvlJc w:val="left"/>
        <w:pPr>
          <w:ind w:left="851" w:hanging="851"/>
        </w:pPr>
        <w:rPr>
          <w:rFonts w:hint="eastAsia"/>
        </w:rPr>
      </w:lvl>
    </w:lvlOverride>
    <w:lvlOverride w:ilvl="4">
      <w:lvl w:ilvl="4" w:tentative="1">
        <w:start w:val="1"/>
        <w:numFmt w:val="decimal"/>
        <w:lvlText w:val="%1.%2.%3.%4.%5."/>
        <w:lvlJc w:val="left"/>
        <w:pPr>
          <w:ind w:left="992" w:hanging="99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EAA"/>
    <w:rsid w:val="0004781D"/>
    <w:rsid w:val="00071A03"/>
    <w:rsid w:val="000A70EA"/>
    <w:rsid w:val="000E545C"/>
    <w:rsid w:val="000F3D90"/>
    <w:rsid w:val="001377E8"/>
    <w:rsid w:val="001445AB"/>
    <w:rsid w:val="001B6AFD"/>
    <w:rsid w:val="00204F7C"/>
    <w:rsid w:val="00227BB8"/>
    <w:rsid w:val="00234F00"/>
    <w:rsid w:val="00240FE0"/>
    <w:rsid w:val="00377009"/>
    <w:rsid w:val="004339F4"/>
    <w:rsid w:val="004650EF"/>
    <w:rsid w:val="004C2CC9"/>
    <w:rsid w:val="00553BEE"/>
    <w:rsid w:val="00597829"/>
    <w:rsid w:val="005F2367"/>
    <w:rsid w:val="00651452"/>
    <w:rsid w:val="006555AB"/>
    <w:rsid w:val="006909CB"/>
    <w:rsid w:val="006925AA"/>
    <w:rsid w:val="00695E05"/>
    <w:rsid w:val="007834B1"/>
    <w:rsid w:val="007A40F6"/>
    <w:rsid w:val="007B2BAD"/>
    <w:rsid w:val="00804BED"/>
    <w:rsid w:val="008559E2"/>
    <w:rsid w:val="008565A6"/>
    <w:rsid w:val="0088253D"/>
    <w:rsid w:val="0088517A"/>
    <w:rsid w:val="00892EAA"/>
    <w:rsid w:val="008E5C8D"/>
    <w:rsid w:val="00917AA5"/>
    <w:rsid w:val="00926F6C"/>
    <w:rsid w:val="0093053A"/>
    <w:rsid w:val="009306F1"/>
    <w:rsid w:val="00932575"/>
    <w:rsid w:val="00970D03"/>
    <w:rsid w:val="009C6311"/>
    <w:rsid w:val="00A17E62"/>
    <w:rsid w:val="00A361C0"/>
    <w:rsid w:val="00A818A8"/>
    <w:rsid w:val="00AB088E"/>
    <w:rsid w:val="00AC4E19"/>
    <w:rsid w:val="00BC00CF"/>
    <w:rsid w:val="00BF4023"/>
    <w:rsid w:val="00C26578"/>
    <w:rsid w:val="00C77B3B"/>
    <w:rsid w:val="00CF0E50"/>
    <w:rsid w:val="00D3636F"/>
    <w:rsid w:val="00D47A93"/>
    <w:rsid w:val="00D748FE"/>
    <w:rsid w:val="00D841E7"/>
    <w:rsid w:val="00DB2B57"/>
    <w:rsid w:val="00DC6576"/>
    <w:rsid w:val="00E10519"/>
    <w:rsid w:val="00E325B3"/>
    <w:rsid w:val="00E338EC"/>
    <w:rsid w:val="00EE09CA"/>
    <w:rsid w:val="00F110BA"/>
    <w:rsid w:val="00F64FEA"/>
    <w:rsid w:val="00F93D98"/>
    <w:rsid w:val="00F97801"/>
    <w:rsid w:val="00FC0542"/>
    <w:rsid w:val="11E319E8"/>
    <w:rsid w:val="15D355DC"/>
    <w:rsid w:val="1CAF56EE"/>
    <w:rsid w:val="3E18333B"/>
    <w:rsid w:val="643B2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 w:type="paragraph" w:styleId="9">
    <w:name w:val="List Paragraph"/>
    <w:basedOn w:val="1"/>
    <w:qFormat/>
    <w:uiPriority w:val="34"/>
    <w:pPr>
      <w:ind w:firstLine="420" w:firstLineChars="200"/>
    </w:pPr>
  </w:style>
  <w:style w:type="paragraph" w:customStyle="1" w:styleId="10">
    <w:name w:val="Default"/>
    <w:uiPriority w:val="0"/>
    <w:pPr>
      <w:widowControl w:val="0"/>
      <w:autoSpaceDE w:val="0"/>
      <w:autoSpaceDN w:val="0"/>
      <w:adjustRightInd w:val="0"/>
    </w:pPr>
    <w:rPr>
      <w:rFonts w:ascii="Arial" w:hAnsi="Arial" w:eastAsia="宋体" w:cs="Arial"/>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Document1.doc"/><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1ec50f0f-5024-47fc-aa9e-fbe119d5ceca</errorID>
      <errorWord>（2025）10号</errorWord>
      <group>L1_Knowledge</group>
      <groupName>知识性问题</groupName>
      <ability>L2_Knowledge</ability>
      <abilityName>其他知识</abilityName>
      <candidateList>
        <item>〔2025〕10号</item>
      </candidateList>
      <explain>发文字号格式错误。</explain>
      <paraID>67A03627</paraID>
      <start>61</start>
      <end>70</end>
      <status>modified</status>
      <modifiedWord>〔2025〕10号</modifiedWord>
      <trackRevisions>false</trackRevisions>
    </reviewItem>
    <reviewItem>
      <errorID>009b2f56-19a2-48de-ad55-6a36e2f820b3</errorID>
      <errorWord>（2026）482号</errorWord>
      <group>L1_Knowledge</group>
      <groupName>知识性问题</groupName>
      <ability>L2_Knowledge</ability>
      <abilityName>其他知识</abilityName>
      <candidateList>
        <item>〔2026〕482号</item>
      </candidateList>
      <explain>发文字号格式错误。</explain>
      <paraID>67A03627</paraID>
      <start>125</start>
      <end>135</end>
      <status>modified</status>
      <modifiedWord>〔2026〕482号</modifiedWord>
      <trackRevisions>false</trackRevisions>
    </reviewItem>
    <reviewItem>
      <errorID>c1855954-c343-4277-804c-f95d0f68e355</errorID>
      <errorWord>（2025）10号</errorWord>
      <group>L1_Knowledge</group>
      <groupName>知识性问题</groupName>
      <ability>L2_Knowledge</ability>
      <abilityName>其他知识</abilityName>
      <candidateList>
        <item>〔2025〕10号</item>
      </candidateList>
      <explain>发文字号格式错误。</explain>
      <paraID>4D2F39C7</paraID>
      <start>3</start>
      <end>12</end>
      <status>modified</status>
      <modifiedWord>〔2025〕10号</modifiedWord>
      <trackRevisions>false</trackRevisions>
    </reviewItem>
    <reviewItem>
      <errorID>fcad3080-2ec4-45ba-9158-e4bf808bf8b3</errorID>
      <errorWord>（2026）482号</errorWord>
      <group>L1_Knowledge</group>
      <groupName>知识性问题</groupName>
      <ability>L2_Knowledge</ability>
      <abilityName>其他知识</abilityName>
      <candidateList>
        <item>〔2026〕482号</item>
      </candidateList>
      <explain>发文字号格式错误。</explain>
      <paraID>627037CB</paraID>
      <start>3</start>
      <end>13</end>
      <status>modified</status>
      <modifiedWord>〔2026〕482号</modifiedWord>
      <trackRevisions>false</trackRevisions>
    </reviewItem>
    <reviewItem>
      <errorID>38d6b8ed-1368-4ef0-9c77-06cf322f44c6</errorID>
      <errorWord>WiFi</errorWord>
      <group>L1_Punc</group>
      <groupName>标点问题</groupName>
      <ability>L2_Punc_CN</ability>
      <abilityName/>
      <candidateList>
        <item>Wi-Fi</item>
      </candidateList>
      <explain/>
      <paraID>3A2B0C1A</paraID>
      <start>14</start>
      <end>19</end>
      <status>modified</status>
      <modifiedWord>Wi-Fi</modifiedWord>
      <trackRevisions>false</trackRevisions>
    </reviewItem>
    <reviewItem>
      <errorID>e3c804aa-454a-49f5-aef4-46ce7fa76e3a</errorID>
      <errorWord>WiFi</errorWord>
      <group>L1_Punc</group>
      <groupName>标点问题</groupName>
      <ability>L2_Punc_CN</ability>
      <abilityName/>
      <candidateList>
        <item>Wi-Fi</item>
      </candidateList>
      <explain/>
      <paraID>71751952</paraID>
      <start>22</start>
      <end>27</end>
      <status>modified</status>
      <modifiedWord>Wi-Fi</modifiedWord>
      <trackRevisions>false</trackRevisions>
    </reviewItem>
    <reviewItem>
      <errorID>531a312a-ee1d-4316-ac3d-8c23a95e6328</errorID>
      <errorWord>WiFi</errorWord>
      <group>L1_Punc</group>
      <groupName>标点问题</groupName>
      <ability>L2_Punc_CN</ability>
      <abilityName/>
      <candidateList>
        <item>Wi-Fi</item>
      </candidateList>
      <explain/>
      <paraID>29D11A83</paraID>
      <start>13</start>
      <end>18</end>
      <status>modified</status>
      <modifiedWord>Wi-Fi</modifiedWord>
      <trackRevisions>false</trackRevisions>
    </reviewItem>
    <reviewItem>
      <errorID>02b82ae9-c1ba-458e-82ee-b027ddbfc267</errorID>
      <errorWord>WiFi</errorWord>
      <group>L1_Punc</group>
      <groupName>标点问题</groupName>
      <ability>L2_Punc_CN</ability>
      <abilityName/>
      <candidateList>
        <item>Wi-Fi</item>
      </candidateList>
      <explain/>
      <paraID>500C1D24</paraID>
      <start>42</start>
      <end>47</end>
      <status>modified</status>
      <modifiedWord>Wi-Fi</modifiedWord>
      <trackRevisions>false</trackRevisions>
    </reviewItem>
    <reviewItem>
      <errorID>d8355379-6a69-4c77-bb9c-11262f8fe2b6</errorID>
      <errorWord>WiFi</errorWord>
      <group>L1_Punc</group>
      <groupName>标点问题</groupName>
      <ability>L2_Punc_CN</ability>
      <abilityName/>
      <candidateList>
        <item>Wi-Fi</item>
      </candidateList>
      <explain/>
      <paraID>6EAAF243</paraID>
      <start>39</start>
      <end>44</end>
      <status>modified</status>
      <modifiedWord>Wi-Fi</modifiedWord>
      <trackRevisions>false</trackRevisions>
    </reviewItem>
    <reviewItem>
      <errorID>85189553-d4d5-4d26-ac9e-55003972e6d8</errorID>
      <errorWord>性</errorWord>
      <group>L1_Word</group>
      <groupName>字词问题</groupName>
      <ability>L2_Typo</ability>
      <abilityName>字词错误</abilityName>
      <candidateList>
        <item>性和</item>
      </candidateList>
      <explain/>
      <paraID>54C557A6</paraID>
      <start>32</start>
      <end>34</end>
      <status>modified</status>
      <modifiedWord>性和</modifiedWord>
      <trackRevisions>false</trackRevisions>
    </reviewItem>
    <reviewItem>
      <errorID>ecac026b-2a33-4f84-b5ef-8e00513cc8cd</errorID>
      <errorWord>（</errorWord>
      <group>L1_Punc</group>
      <groupName>标点问题</groupName>
      <ability>L2_Punc_CN</ability>
      <abilityName/>
      <candidateList/>
      <explain>此处标点可能未正确匹配，请检查句子中是否存在标点冗余、缺失或使用错误的情况。</explain>
      <paraID>79EF1BE6</paraID>
      <start>6</start>
      <end>7</end>
      <status>ignored</status>
      <modifiedWord/>
      <trackRevisions>false</trackRevisions>
    </reviewItem>
    <reviewItem>
      <errorID>e0cc536b-5209-4398-905b-d84de1451c97</errorID>
      <errorWord>）</errorWord>
      <group>L1_Punc</group>
      <groupName>标点问题</groupName>
      <ability>L2_Punc_CN</ability>
      <abilityName/>
      <candidateList/>
      <explain>此处标点可能未正确匹配，请检查句子中是否存在标点冗余、缺失或使用错误的情况。</explain>
      <paraID>12FE9964</paraID>
      <start>2</start>
      <end>3</end>
      <status>ignored</status>
      <modifiedWord/>
      <trackRevisions>false</trackRevisions>
    </reviewItem>
    <reviewItem>
      <errorID>c72470ef-6602-4598-8e4f-2d0b42355442</errorID>
      <errorWord>（</errorWord>
      <group>L1_Punc</group>
      <groupName>标点问题</groupName>
      <ability>L2_Punc_CN</ability>
      <abilityName/>
      <candidateList/>
      <explain>此处标点可能未正确匹配，请检查句子中是否存在标点冗余、缺失或使用错误的情况。</explain>
      <paraID>655009C7</paraID>
      <start>19</start>
      <end>20</end>
      <status>ignored</status>
      <modifiedWord/>
      <trackRevisions>false</trackRevisions>
    </reviewItem>
    <reviewItem>
      <errorID>0cb1560c-09ea-4748-8c73-9a7490a5f2fa</errorID>
      <errorWord>）</errorWord>
      <group>L1_Punc</group>
      <groupName>标点问题</groupName>
      <ability>L2_Punc_CN</ability>
      <abilityName/>
      <candidateList/>
      <explain>此处标点可能未正确匹配，请检查句子中是否存在标点冗余、缺失或使用错误的情况。</explain>
      <paraID> 35171A4</paraID>
      <start>8</start>
      <end>9</end>
      <status>ignored</status>
      <modifiedWord/>
      <trackRevisions>false</trackRevisions>
    </reviewItem>
    <reviewItem>
      <errorID>990d6606-f07a-42b2-ae9d-6b87a70e2ef7</errorID>
      <errorWord>其它</errorWord>
      <group>L1_Word</group>
      <groupName>字词问题</groupName>
      <ability>L2_Alias</ability>
      <abilityName>也作/曾用词</abilityName>
      <candidateList>
        <item>其他</item>
      </candidateList>
      <explain>词汇[其它]为不规范表述或旧称，其规范书面表述为[其他]。</explain>
      <paraID>6FC7025E</paraID>
      <start>0</start>
      <end>2</end>
      <status>modified</status>
      <modifiedWord>其他</modifiedWord>
      <trackRevisions>false</trackRevisions>
    </reviewItem>
    <reviewItem>
      <errorID>9e49a8d2-1cec-4f0e-ad6d-a3a28e03ee13</errorID>
      <errorWord>（</errorWord>
      <group>L1_Punc</group>
      <groupName>标点问题</groupName>
      <ability>L2_Punc_CN</ability>
      <abilityName/>
      <candidateList/>
      <explain>此处标点可能未正确匹配，请检查句子中是否存在标点冗余、缺失或使用错误的情况。</explain>
      <paraID>4A6BA27D</paraID>
      <start>20</start>
      <end>21</end>
      <status>ignored</status>
      <modifiedWord/>
      <trackRevisions>false</trackRevisions>
    </reviewItem>
    <reviewItem>
      <errorID>8c07d0a6-589a-4c69-b421-85751c6be828</errorID>
      <errorWord>）</errorWord>
      <group>L1_Punc</group>
      <groupName>标点问题</groupName>
      <ability>L2_Punc_CN</ability>
      <abilityName/>
      <candidateList/>
      <explain>此处标点可能未正确匹配，请检查句子中是否存在标点冗余、缺失或使用错误的情况。</explain>
      <paraID>46D245B0</paraID>
      <start>2</start>
      <end>3</end>
      <status>ignored</status>
      <modifiedWord/>
      <trackRevisions>false</trackRevisions>
    </reviewItem>
    <reviewItem>
      <errorID>6d9a1bb6-c3f7-4077-af7e-940e9f3cef7f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509A722B</paraID>
      <start>0</start>
      <end>2</end>
      <status>modified</status>
      <modifiedWord>1）</modifiedWord>
      <trackRevisions>false</trackRevisions>
    </reviewItem>
    <reviewItem>
      <errorID>d8d46510-c1d9-4f12-9ead-20e54da07d02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5DA267D9</paraID>
      <start>0</start>
      <end>2</end>
      <status>modified</status>
      <modifiedWord>2）</modifiedWord>
      <trackRevisions>false</trackRevisions>
    </reviewItem>
    <reviewItem>
      <errorID>2db93817-3d67-4e7f-9c2d-f05729bd33c3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7FE5FE6F</paraID>
      <start>0</start>
      <end>2</end>
      <status>modified</status>
      <modifiedWord>3）</modifiedWord>
      <trackRevisions>false</trackRevisions>
    </reviewItem>
    <reviewItem>
      <errorID>4191d833-9abc-4b54-9781-774f94b6982d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263EE5CC</paraID>
      <start>0</start>
      <end>2</end>
      <status>modified</status>
      <modifiedWord>4）</modifiedWord>
      <trackRevisions>false</trackRevisions>
    </reviewItem>
    <reviewItem>
      <errorID>91ea9649-f572-45c4-9051-d543f40714ba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3BC70472</paraID>
      <start>0</start>
      <end>2</end>
      <status>modified</status>
      <modifiedWord>5）</modifiedWord>
      <trackRevisions>false</trackRevisions>
    </reviewItem>
    <reviewItem>
      <errorID>de8837d1-e20a-4534-8d11-158789ab9d45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6D846103</paraID>
      <start>0</start>
      <end>2</end>
      <status>modified</status>
      <modifiedWord>6）</modifiedWord>
      <trackRevisions>false</trackRevisions>
    </reviewItem>
    <reviewItem>
      <errorID>ef8534fa-dc9a-4687-9d92-1e11abb61a51</errorID>
      <errorWord>，</errorWord>
      <group>L1_Word</group>
      <groupName>字词问题</groupName>
      <ability>L2_Typo</ability>
      <abilityName>字词错误</abilityName>
      <candidateList>
        <item>，由</item>
      </candidateList>
      <explain/>
      <paraID>2515C8BE</paraID>
      <start>19</start>
      <end>21</end>
      <status>modified</status>
      <modifiedWord>，由</modifiedWord>
      <trackRevisions>false</trackRevisions>
    </reviewItem>
    <reviewItem>
      <errorID>6cfcd0d6-2c27-445b-b4cd-e5f04dfdb9e7</errorID>
      <errorWord>持有有</errorWord>
      <group>L1_Word</group>
      <groupName>字词问题</groupName>
      <ability>L2_Typo</ability>
      <abilityName>字词错误</abilityName>
      <candidateList>
        <item>持有</item>
      </candidateList>
      <explain/>
      <paraID>59E22748</paraID>
      <start>22</start>
      <end>24</end>
      <status>modified</status>
      <modifiedWord>持有</modifiedWord>
      <trackRevisions>false</trackRevisions>
    </reviewItem>
  </reviewItems>
  <config/>
</contractReview>
</file>

<file path=customXml/itemProps1.xml><?xml version="1.0" encoding="utf-8"?>
<ds:datastoreItem xmlns:ds="http://schemas.openxmlformats.org/officeDocument/2006/customXml" ds:itemID="{1fef49ef-9c31-4f54-ab24-5f9d073df9af}">
  <ds:schemaRefs/>
</ds:datastoreItem>
</file>

<file path=docProps/app.xml><?xml version="1.0" encoding="utf-8"?>
<Properties xmlns="http://schemas.openxmlformats.org/officeDocument/2006/extended-properties" xmlns:vt="http://schemas.openxmlformats.org/officeDocument/2006/docPropsVTypes">
  <Template>Normal</Template>
  <Pages>8</Pages>
  <Words>2982</Words>
  <Characters>3124</Characters>
  <Lines>23</Lines>
  <Paragraphs>6</Paragraphs>
  <TotalTime>1</TotalTime>
  <ScaleCrop>false</ScaleCrop>
  <LinksUpToDate>false</LinksUpToDate>
  <CharactersWithSpaces>3126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2026-05-13T07:43:00Z</dcterms:created>
  <dc:creator>Zhou Fei（周飞）</dc:creator>
  <cp:lastModifiedBy>Dy</cp:lastModifiedBy>
  <dcterms:modified xsi:type="dcterms:W3CDTF">2026-05-19T03:36:01Z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291E23FD164C427883B1452B8744A6DF_13</vt:lpwstr>
  </property>
  <property fmtid="{D5CDD505-2E9C-101B-9397-08002B2CF9AE}" pid="4" name="KSOTemplateDocerSaveRecord">
    <vt:lpwstr>eyJoZGlkIjoiZTYwOTZjZTQ4MWQ5ZGQwZTQ4NGIyODQwNjc5Y2U2MDciLCJ1c2VySWQiOiI0ODAwMzQ4MDkifQ==</vt:lpwstr>
  </property>
</Properties>
</file>